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E27D5F" w:rsidRDefault="00E27D5F" w:rsidP="00E27D5F">
      <w:bookmarkStart w:id="0" w:name="_GoBack"/>
      <w:bookmarkEnd w:id="0"/>
      <w:permStart w:id="585137604"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6pt;margin-top:0;width:540pt;height:36pt;z-index:251656704">
            <v:imagedata r:id="rId5" o:title="thc_header_k"/>
            <w10:wrap type="square"/>
          </v:shape>
        </w:pict>
      </w:r>
      <w:permEnd w:id="585137604"/>
    </w:p>
    <w:p w:rsidR="00502E50" w:rsidRPr="00267F6B" w:rsidRDefault="00502E50">
      <w:pPr>
        <w:rPr>
          <w:sz w:val="18"/>
          <w:szCs w:val="18"/>
        </w:rPr>
      </w:pPr>
    </w:p>
    <w:p w:rsidR="00801129" w:rsidRPr="00267F6B" w:rsidRDefault="007E6587" w:rsidP="00502E50">
      <w:pPr>
        <w:jc w:val="center"/>
        <w:rPr>
          <w:b/>
          <w:caps/>
          <w:spacing w:val="20"/>
          <w:sz w:val="36"/>
          <w:szCs w:val="36"/>
        </w:rPr>
      </w:pPr>
      <w:r w:rsidRPr="00267F6B">
        <w:rPr>
          <w:b/>
          <w:caps/>
          <w:spacing w:val="20"/>
          <w:sz w:val="36"/>
          <w:szCs w:val="36"/>
        </w:rPr>
        <w:t>Marker</w:t>
      </w:r>
      <w:r w:rsidR="00801129" w:rsidRPr="00267F6B">
        <w:rPr>
          <w:b/>
          <w:caps/>
          <w:spacing w:val="20"/>
          <w:sz w:val="36"/>
          <w:szCs w:val="36"/>
        </w:rPr>
        <w:t xml:space="preserve"> research guide for</w:t>
      </w:r>
    </w:p>
    <w:p w:rsidR="00502E50" w:rsidRPr="00267F6B" w:rsidRDefault="00801129" w:rsidP="00502E50">
      <w:pPr>
        <w:jc w:val="center"/>
        <w:rPr>
          <w:b/>
          <w:caps/>
          <w:spacing w:val="20"/>
          <w:sz w:val="36"/>
          <w:szCs w:val="36"/>
        </w:rPr>
      </w:pPr>
      <w:r w:rsidRPr="00267F6B">
        <w:rPr>
          <w:b/>
          <w:caps/>
          <w:spacing w:val="20"/>
          <w:sz w:val="36"/>
          <w:szCs w:val="36"/>
        </w:rPr>
        <w:t xml:space="preserve">historic </w:t>
      </w:r>
      <w:r w:rsidR="00C50240" w:rsidRPr="00267F6B">
        <w:rPr>
          <w:b/>
          <w:caps/>
          <w:spacing w:val="20"/>
          <w:sz w:val="36"/>
          <w:szCs w:val="36"/>
        </w:rPr>
        <w:t>EVENTS</w:t>
      </w:r>
    </w:p>
    <w:p w:rsidR="00502E50" w:rsidRPr="00267F6B" w:rsidRDefault="00502E50" w:rsidP="00D57911">
      <w:pPr>
        <w:spacing w:after="120"/>
        <w:jc w:val="center"/>
        <w:rPr>
          <w:b/>
        </w:rPr>
      </w:pPr>
    </w:p>
    <w:p w:rsidR="006252A0" w:rsidRPr="00267F6B" w:rsidRDefault="006252A0" w:rsidP="006252A0">
      <w:pPr>
        <w:spacing w:after="120"/>
        <w:rPr>
          <w:sz w:val="22"/>
          <w:szCs w:val="22"/>
        </w:rPr>
      </w:pPr>
      <w:r w:rsidRPr="00267F6B">
        <w:rPr>
          <w:sz w:val="22"/>
          <w:szCs w:val="22"/>
        </w:rPr>
        <w:t>The Texas Historical Commission (THC) created this guide to help county historical commissions and marker sponsors develop a strong application for an event as a topic for a historical marker. It is a guide in researching and preparing the narrative history.</w:t>
      </w:r>
    </w:p>
    <w:p w:rsidR="00E35029" w:rsidRPr="00267F6B" w:rsidRDefault="00E35029" w:rsidP="00D57911">
      <w:pPr>
        <w:spacing w:after="120"/>
        <w:rPr>
          <w:sz w:val="22"/>
          <w:szCs w:val="22"/>
        </w:rPr>
      </w:pPr>
      <w:r w:rsidRPr="00267F6B">
        <w:rPr>
          <w:b/>
          <w:caps/>
          <w:sz w:val="22"/>
          <w:szCs w:val="22"/>
        </w:rPr>
        <w:t>Narrative history</w:t>
      </w:r>
      <w:r w:rsidRPr="00267F6B">
        <w:rPr>
          <w:b/>
          <w:sz w:val="22"/>
          <w:szCs w:val="22"/>
        </w:rPr>
        <w:t xml:space="preserve">: </w:t>
      </w:r>
      <w:r w:rsidRPr="00267F6B">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267F6B">
        <w:rPr>
          <w:sz w:val="22"/>
          <w:szCs w:val="22"/>
        </w:rPr>
        <w:t xml:space="preserve"> </w:t>
      </w:r>
      <w:r w:rsidRPr="00267F6B">
        <w:rPr>
          <w:sz w:val="22"/>
          <w:szCs w:val="22"/>
        </w:rPr>
        <w:t>—</w:t>
      </w:r>
      <w:r w:rsidR="00EC7512" w:rsidRPr="00267F6B">
        <w:rPr>
          <w:sz w:val="22"/>
          <w:szCs w:val="22"/>
        </w:rPr>
        <w:t xml:space="preserve"> </w:t>
      </w:r>
      <w:r w:rsidRPr="00267F6B">
        <w:rPr>
          <w:b/>
          <w:sz w:val="22"/>
          <w:szCs w:val="22"/>
        </w:rPr>
        <w:t>context, overview, significance and documentation</w:t>
      </w:r>
      <w:r w:rsidRPr="00267F6B">
        <w:rPr>
          <w:sz w:val="22"/>
          <w:szCs w:val="22"/>
        </w:rPr>
        <w:t xml:space="preserve">. A </w:t>
      </w:r>
      <w:r w:rsidR="00D57911" w:rsidRPr="00267F6B">
        <w:rPr>
          <w:sz w:val="22"/>
          <w:szCs w:val="22"/>
        </w:rPr>
        <w:t>sample is included</w:t>
      </w:r>
      <w:r w:rsidRPr="00267F6B">
        <w:rPr>
          <w:sz w:val="22"/>
          <w:szCs w:val="22"/>
        </w:rPr>
        <w:t>.</w:t>
      </w:r>
    </w:p>
    <w:p w:rsidR="00E35029" w:rsidRPr="00267F6B" w:rsidRDefault="00A7612C" w:rsidP="007E6587">
      <w:pPr>
        <w:numPr>
          <w:ilvl w:val="0"/>
          <w:numId w:val="5"/>
        </w:numPr>
        <w:spacing w:after="120"/>
        <w:rPr>
          <w:sz w:val="22"/>
          <w:szCs w:val="22"/>
        </w:rPr>
      </w:pPr>
      <w:r w:rsidRPr="00267F6B">
        <w:rPr>
          <w:b/>
          <w:sz w:val="22"/>
          <w:szCs w:val="22"/>
        </w:rPr>
        <w:t>CONTEXT</w:t>
      </w:r>
      <w:r w:rsidR="00E35029" w:rsidRPr="00267F6B">
        <w:rPr>
          <w:b/>
          <w:sz w:val="22"/>
          <w:szCs w:val="22"/>
        </w:rPr>
        <w:t>:</w:t>
      </w:r>
      <w:r w:rsidR="00E35029" w:rsidRPr="00267F6B">
        <w:rPr>
          <w:sz w:val="22"/>
          <w:szCs w:val="22"/>
        </w:rPr>
        <w:t xml:space="preserve"> </w:t>
      </w:r>
      <w:r w:rsidR="007E1278" w:rsidRPr="00267F6B">
        <w:rPr>
          <w:sz w:val="22"/>
          <w:szCs w:val="22"/>
        </w:rPr>
        <w:t>The historical context represents a broader set of facts or circumstances that explains why the event should be considered historic</w:t>
      </w:r>
      <w:r w:rsidR="00E35029" w:rsidRPr="00267F6B">
        <w:rPr>
          <w:sz w:val="22"/>
          <w:szCs w:val="22"/>
        </w:rPr>
        <w:t xml:space="preserve">. </w:t>
      </w:r>
      <w:r w:rsidR="007A6468" w:rsidRPr="00267F6B">
        <w:rPr>
          <w:sz w:val="22"/>
          <w:szCs w:val="22"/>
        </w:rPr>
        <w:t>What circumst</w:t>
      </w:r>
      <w:r w:rsidR="00D853FF" w:rsidRPr="00267F6B">
        <w:rPr>
          <w:sz w:val="22"/>
          <w:szCs w:val="22"/>
        </w:rPr>
        <w:t>ances in the area helped le</w:t>
      </w:r>
      <w:r w:rsidR="0072799F">
        <w:rPr>
          <w:sz w:val="22"/>
          <w:szCs w:val="22"/>
        </w:rPr>
        <w:t>a</w:t>
      </w:r>
      <w:r w:rsidR="00D853FF" w:rsidRPr="00267F6B">
        <w:rPr>
          <w:sz w:val="22"/>
          <w:szCs w:val="22"/>
        </w:rPr>
        <w:t>d</w:t>
      </w:r>
      <w:r w:rsidR="007A6468" w:rsidRPr="00267F6B">
        <w:rPr>
          <w:sz w:val="22"/>
          <w:szCs w:val="22"/>
        </w:rPr>
        <w:t xml:space="preserve"> to the event?</w:t>
      </w:r>
      <w:r w:rsidR="00E35029" w:rsidRPr="00267F6B">
        <w:rPr>
          <w:sz w:val="22"/>
          <w:szCs w:val="22"/>
        </w:rPr>
        <w:t xml:space="preserve"> How does the </w:t>
      </w:r>
      <w:r w:rsidR="007A6468" w:rsidRPr="00267F6B">
        <w:rPr>
          <w:sz w:val="22"/>
          <w:szCs w:val="22"/>
        </w:rPr>
        <w:t>event</w:t>
      </w:r>
      <w:r w:rsidR="00E35029" w:rsidRPr="00267F6B">
        <w:rPr>
          <w:sz w:val="22"/>
          <w:szCs w:val="22"/>
        </w:rPr>
        <w:t xml:space="preserve"> relate to the history of </w:t>
      </w:r>
      <w:r w:rsidR="007A6468" w:rsidRPr="00267F6B">
        <w:rPr>
          <w:sz w:val="22"/>
          <w:szCs w:val="22"/>
        </w:rPr>
        <w:t>its</w:t>
      </w:r>
      <w:r w:rsidR="00897D85" w:rsidRPr="00267F6B">
        <w:rPr>
          <w:sz w:val="22"/>
          <w:szCs w:val="22"/>
        </w:rPr>
        <w:t xml:space="preserve"> communit</w:t>
      </w:r>
      <w:r w:rsidR="007A6468" w:rsidRPr="00267F6B">
        <w:rPr>
          <w:sz w:val="22"/>
          <w:szCs w:val="22"/>
        </w:rPr>
        <w:t>y,</w:t>
      </w:r>
      <w:r w:rsidR="00897D85" w:rsidRPr="00267F6B">
        <w:rPr>
          <w:sz w:val="22"/>
          <w:szCs w:val="22"/>
        </w:rPr>
        <w:t xml:space="preserve"> county or region</w:t>
      </w:r>
      <w:r w:rsidR="00E35029" w:rsidRPr="00267F6B">
        <w:rPr>
          <w:sz w:val="22"/>
          <w:szCs w:val="22"/>
        </w:rPr>
        <w:t xml:space="preserve">? What is its relevance to the broader history? What other events </w:t>
      </w:r>
      <w:r w:rsidR="00D57911" w:rsidRPr="00267F6B">
        <w:rPr>
          <w:sz w:val="22"/>
          <w:szCs w:val="22"/>
        </w:rPr>
        <w:t>took</w:t>
      </w:r>
      <w:r w:rsidR="00E35029" w:rsidRPr="00267F6B">
        <w:rPr>
          <w:sz w:val="22"/>
          <w:szCs w:val="22"/>
        </w:rPr>
        <w:t xml:space="preserve"> place (locally, regionally or nationally) that may have had a bearing on how or why the </w:t>
      </w:r>
      <w:r w:rsidR="007A6468" w:rsidRPr="00267F6B">
        <w:rPr>
          <w:sz w:val="22"/>
          <w:szCs w:val="22"/>
        </w:rPr>
        <w:t>event</w:t>
      </w:r>
      <w:r w:rsidR="00E35029" w:rsidRPr="00267F6B">
        <w:rPr>
          <w:sz w:val="22"/>
          <w:szCs w:val="22"/>
        </w:rPr>
        <w:t xml:space="preserve"> was important?</w:t>
      </w:r>
      <w:r w:rsidR="00E35029" w:rsidRPr="00267F6B">
        <w:rPr>
          <w:color w:val="FF0000"/>
          <w:sz w:val="22"/>
          <w:szCs w:val="22"/>
        </w:rPr>
        <w:t xml:space="preserve"> </w:t>
      </w:r>
      <w:smartTag w:uri="urn:schemas-microsoft-com:office:smarttags" w:element="PersonName">
        <w:r w:rsidR="00E35029" w:rsidRPr="00267F6B">
          <w:rPr>
            <w:sz w:val="22"/>
            <w:szCs w:val="22"/>
          </w:rPr>
          <w:t>History</w:t>
        </w:r>
      </w:smartTag>
      <w:r w:rsidR="00E35029" w:rsidRPr="00267F6B">
        <w:rPr>
          <w:sz w:val="22"/>
          <w:szCs w:val="22"/>
        </w:rPr>
        <w:t xml:space="preserve"> does not take place in a vacuum; it is dynamic and interconnected, and the context explores these elements.</w:t>
      </w:r>
    </w:p>
    <w:p w:rsidR="00E35029" w:rsidRPr="00267F6B" w:rsidRDefault="00A7612C" w:rsidP="00D57911">
      <w:pPr>
        <w:numPr>
          <w:ilvl w:val="0"/>
          <w:numId w:val="5"/>
        </w:numPr>
        <w:spacing w:after="120"/>
        <w:rPr>
          <w:color w:val="FF0000"/>
          <w:sz w:val="22"/>
          <w:szCs w:val="22"/>
        </w:rPr>
      </w:pPr>
      <w:r w:rsidRPr="00267F6B">
        <w:rPr>
          <w:b/>
          <w:sz w:val="22"/>
          <w:szCs w:val="22"/>
        </w:rPr>
        <w:t>OVERVIEW</w:t>
      </w:r>
      <w:r w:rsidR="00E35029" w:rsidRPr="00267F6B">
        <w:rPr>
          <w:b/>
          <w:sz w:val="22"/>
          <w:szCs w:val="22"/>
        </w:rPr>
        <w:t>:</w:t>
      </w:r>
      <w:r w:rsidR="00E35029" w:rsidRPr="00267F6B">
        <w:rPr>
          <w:sz w:val="22"/>
          <w:szCs w:val="22"/>
        </w:rPr>
        <w:t xml:space="preserve"> This is the main body of the narrative history, and it represents the key facts in the story. The overview should be told, as closely as possible</w:t>
      </w:r>
      <w:r w:rsidR="00801129" w:rsidRPr="00267F6B">
        <w:rPr>
          <w:sz w:val="22"/>
          <w:szCs w:val="22"/>
        </w:rPr>
        <w:t>,</w:t>
      </w:r>
      <w:r w:rsidR="00E35029" w:rsidRPr="00267F6B">
        <w:rPr>
          <w:sz w:val="22"/>
          <w:szCs w:val="22"/>
        </w:rPr>
        <w:t xml:space="preserve"> in chronological order, with clearly documented connections between earlier and </w:t>
      </w:r>
      <w:r w:rsidR="007E1278" w:rsidRPr="00267F6B">
        <w:rPr>
          <w:sz w:val="22"/>
          <w:szCs w:val="22"/>
        </w:rPr>
        <w:t>more recent</w:t>
      </w:r>
      <w:r w:rsidR="00E35029" w:rsidRPr="00267F6B">
        <w:rPr>
          <w:sz w:val="22"/>
          <w:szCs w:val="22"/>
        </w:rPr>
        <w:t xml:space="preserve"> aspects of the context story. While a complete overview is required, the central focus should be on the </w:t>
      </w:r>
      <w:r w:rsidR="00E35029" w:rsidRPr="00267F6B">
        <w:rPr>
          <w:i/>
          <w:sz w:val="22"/>
          <w:szCs w:val="22"/>
        </w:rPr>
        <w:t>historical period of significance</w:t>
      </w:r>
      <w:r w:rsidR="00E35029" w:rsidRPr="00267F6B">
        <w:rPr>
          <w:sz w:val="22"/>
          <w:szCs w:val="22"/>
        </w:rPr>
        <w:t xml:space="preserve"> (see </w:t>
      </w:r>
      <w:r w:rsidR="00E35029" w:rsidRPr="00267F6B">
        <w:rPr>
          <w:i/>
          <w:sz w:val="22"/>
          <w:szCs w:val="22"/>
        </w:rPr>
        <w:t>Significance</w:t>
      </w:r>
      <w:r w:rsidR="00E35029" w:rsidRPr="00267F6B">
        <w:rPr>
          <w:sz w:val="22"/>
          <w:szCs w:val="22"/>
        </w:rPr>
        <w:t xml:space="preserve"> section)</w:t>
      </w:r>
      <w:r w:rsidR="007A6468" w:rsidRPr="00267F6B">
        <w:rPr>
          <w:sz w:val="22"/>
          <w:szCs w:val="22"/>
        </w:rPr>
        <w:t>.</w:t>
      </w:r>
    </w:p>
    <w:p w:rsidR="00E35029" w:rsidRPr="00267F6B" w:rsidRDefault="007E6587" w:rsidP="00BB1190">
      <w:pPr>
        <w:numPr>
          <w:ilvl w:val="0"/>
          <w:numId w:val="5"/>
        </w:numPr>
        <w:spacing w:after="120"/>
        <w:rPr>
          <w:sz w:val="22"/>
          <w:szCs w:val="22"/>
        </w:rPr>
      </w:pPr>
      <w:r w:rsidRPr="00267F6B">
        <w:rPr>
          <w:b/>
          <w:caps/>
          <w:sz w:val="22"/>
          <w:szCs w:val="22"/>
        </w:rPr>
        <w:t xml:space="preserve">Historical/Cultural </w:t>
      </w:r>
      <w:r w:rsidR="00E35029" w:rsidRPr="00267F6B">
        <w:rPr>
          <w:b/>
          <w:caps/>
          <w:sz w:val="22"/>
          <w:szCs w:val="22"/>
        </w:rPr>
        <w:t>Significance</w:t>
      </w:r>
      <w:r w:rsidR="00E35029" w:rsidRPr="00267F6B">
        <w:rPr>
          <w:sz w:val="22"/>
          <w:szCs w:val="22"/>
        </w:rPr>
        <w:t>: A topic is considered to have historical s</w:t>
      </w:r>
      <w:r w:rsidR="00801129" w:rsidRPr="00267F6B">
        <w:rPr>
          <w:sz w:val="22"/>
          <w:szCs w:val="22"/>
        </w:rPr>
        <w:t>ignificance if it had influence</w:t>
      </w:r>
      <w:r w:rsidR="00E35029" w:rsidRPr="00267F6B">
        <w:rPr>
          <w:sz w:val="22"/>
          <w:szCs w:val="22"/>
        </w:rPr>
        <w:t xml:space="preserve">, effect or impact on the course of history or cultural development; age alone does not determine significance. Topics do not necessarily have to be of statewide or national significance; many historical markers deal with local history and a local level of significance. </w:t>
      </w:r>
      <w:r w:rsidR="00BB1190" w:rsidRPr="00267F6B">
        <w:rPr>
          <w:sz w:val="22"/>
          <w:szCs w:val="22"/>
        </w:rPr>
        <w:t xml:space="preserve">They may also have cultural significance. </w:t>
      </w:r>
      <w:r w:rsidR="00E35029" w:rsidRPr="00267F6B">
        <w:rPr>
          <w:sz w:val="22"/>
          <w:szCs w:val="22"/>
        </w:rPr>
        <w:t>To determine significance, ask such questions as: How di</w:t>
      </w:r>
      <w:r w:rsidR="00897D85" w:rsidRPr="00267F6B">
        <w:rPr>
          <w:sz w:val="22"/>
          <w:szCs w:val="22"/>
        </w:rPr>
        <w:t>d</w:t>
      </w:r>
      <w:r w:rsidR="00E35029" w:rsidRPr="00267F6B">
        <w:rPr>
          <w:sz w:val="22"/>
          <w:szCs w:val="22"/>
        </w:rPr>
        <w:t xml:space="preserve"> the </w:t>
      </w:r>
      <w:r w:rsidR="007A6468" w:rsidRPr="00267F6B">
        <w:rPr>
          <w:sz w:val="22"/>
          <w:szCs w:val="22"/>
        </w:rPr>
        <w:t xml:space="preserve">event </w:t>
      </w:r>
      <w:r w:rsidR="00E35029" w:rsidRPr="00267F6B">
        <w:rPr>
          <w:sz w:val="22"/>
          <w:szCs w:val="22"/>
        </w:rPr>
        <w:t>play a role in history? How has it made a difference in the context of local or state history? Who were the individual</w:t>
      </w:r>
      <w:r w:rsidR="00897D85" w:rsidRPr="00267F6B">
        <w:rPr>
          <w:sz w:val="22"/>
          <w:szCs w:val="22"/>
        </w:rPr>
        <w:t>s</w:t>
      </w:r>
      <w:r w:rsidR="00E35029" w:rsidRPr="00267F6B">
        <w:rPr>
          <w:sz w:val="22"/>
          <w:szCs w:val="22"/>
        </w:rPr>
        <w:t xml:space="preserve"> involved in the</w:t>
      </w:r>
      <w:r w:rsidR="000D53DB" w:rsidRPr="00267F6B">
        <w:rPr>
          <w:sz w:val="22"/>
          <w:szCs w:val="22"/>
        </w:rPr>
        <w:t xml:space="preserve"> </w:t>
      </w:r>
      <w:r w:rsidR="007A6468" w:rsidRPr="00267F6B">
        <w:rPr>
          <w:sz w:val="22"/>
          <w:szCs w:val="22"/>
        </w:rPr>
        <w:t>event</w:t>
      </w:r>
      <w:r w:rsidR="00E35029" w:rsidRPr="00267F6B">
        <w:rPr>
          <w:sz w:val="22"/>
          <w:szCs w:val="22"/>
        </w:rPr>
        <w:t>?</w:t>
      </w:r>
    </w:p>
    <w:p w:rsidR="00652C50" w:rsidRPr="00267F6B" w:rsidRDefault="00A7612C" w:rsidP="00652C50">
      <w:pPr>
        <w:numPr>
          <w:ilvl w:val="0"/>
          <w:numId w:val="5"/>
        </w:numPr>
        <w:spacing w:after="120"/>
        <w:rPr>
          <w:sz w:val="22"/>
          <w:szCs w:val="22"/>
        </w:rPr>
      </w:pPr>
      <w:r w:rsidRPr="00267F6B">
        <w:rPr>
          <w:b/>
          <w:sz w:val="22"/>
          <w:szCs w:val="22"/>
        </w:rPr>
        <w:t>DOCUMENTATION</w:t>
      </w:r>
      <w:r w:rsidR="00652C50" w:rsidRPr="00267F6B">
        <w:rPr>
          <w:b/>
          <w:sz w:val="22"/>
          <w:szCs w:val="22"/>
        </w:rPr>
        <w:t xml:space="preserve">: </w:t>
      </w:r>
      <w:r w:rsidR="00652C50" w:rsidRPr="00267F6B">
        <w:rPr>
          <w:sz w:val="22"/>
          <w:szCs w:val="22"/>
        </w:rPr>
        <w:t>This is, in effect, the evidence necessary to d</w:t>
      </w:r>
      <w:r w:rsidR="00801129" w:rsidRPr="00267F6B">
        <w:rPr>
          <w:sz w:val="22"/>
          <w:szCs w:val="22"/>
        </w:rPr>
        <w:t>evelop the history or</w:t>
      </w:r>
      <w:r w:rsidR="00652C50" w:rsidRPr="00267F6B">
        <w:rPr>
          <w:sz w:val="22"/>
          <w:szCs w:val="22"/>
        </w:rPr>
        <w:t xml:space="preserve"> significance of a topic. It is the foundation of historical interpretation and accurate research. For the purposes of the Official Texas </w:t>
      </w:r>
      <w:r w:rsidR="00222A35" w:rsidRPr="00267F6B">
        <w:rPr>
          <w:sz w:val="22"/>
          <w:szCs w:val="22"/>
        </w:rPr>
        <w:t>H</w:t>
      </w:r>
      <w:r w:rsidR="00652C50" w:rsidRPr="00267F6B">
        <w:rPr>
          <w:sz w:val="22"/>
          <w:szCs w:val="22"/>
        </w:rPr>
        <w:t xml:space="preserve">istorical Marker Program, documentation associated with applications should be broad-based and demonstrate a survey of all available resources, both primary and secondary (see </w:t>
      </w:r>
      <w:r w:rsidR="00652C50" w:rsidRPr="00267F6B">
        <w:rPr>
          <w:i/>
          <w:sz w:val="22"/>
          <w:szCs w:val="22"/>
        </w:rPr>
        <w:t xml:space="preserve">Types of Sources </w:t>
      </w:r>
      <w:r w:rsidR="00652C50" w:rsidRPr="00267F6B">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00652C50" w:rsidRPr="00267F6B">
        <w:rPr>
          <w:i/>
          <w:sz w:val="22"/>
          <w:szCs w:val="22"/>
        </w:rPr>
        <w:t>Preparing the Reference Notes</w:t>
      </w:r>
      <w:r w:rsidR="00652C50" w:rsidRPr="00267F6B">
        <w:rPr>
          <w:sz w:val="22"/>
          <w:szCs w:val="22"/>
        </w:rPr>
        <w:t xml:space="preserve"> section below).</w:t>
      </w:r>
    </w:p>
    <w:p w:rsidR="00E35029" w:rsidRPr="00267F6B" w:rsidRDefault="00E35029" w:rsidP="00652C50">
      <w:pPr>
        <w:ind w:left="1080"/>
      </w:pPr>
    </w:p>
    <w:p w:rsidR="00CA7AD5" w:rsidRPr="00267F6B" w:rsidRDefault="00CA7AD5" w:rsidP="00CA7AD5">
      <w:pPr>
        <w:pStyle w:val="Heading3"/>
        <w:spacing w:before="0"/>
        <w:rPr>
          <w:rFonts w:ascii="Times New Roman" w:hAnsi="Times New Roman"/>
          <w:w w:val="95"/>
          <w:sz w:val="28"/>
          <w:szCs w:val="28"/>
        </w:rPr>
      </w:pPr>
      <w:r w:rsidRPr="00267F6B">
        <w:rPr>
          <w:rFonts w:ascii="Times New Roman" w:hAnsi="Times New Roman"/>
          <w:w w:val="95"/>
          <w:sz w:val="28"/>
          <w:szCs w:val="28"/>
        </w:rPr>
        <w:t>TYPES OF SOURCES</w:t>
      </w:r>
      <w:r w:rsidR="00D36611" w:rsidRPr="00267F6B">
        <w:rPr>
          <w:rFonts w:ascii="Times New Roman" w:hAnsi="Times New Roman"/>
          <w:w w:val="95"/>
          <w:sz w:val="28"/>
          <w:szCs w:val="28"/>
        </w:rPr>
        <w:t xml:space="preserve"> FOR </w:t>
      </w:r>
      <w:r w:rsidR="00B85F14" w:rsidRPr="00267F6B">
        <w:rPr>
          <w:rFonts w:ascii="Times New Roman" w:hAnsi="Times New Roman"/>
          <w:w w:val="95"/>
          <w:sz w:val="28"/>
          <w:szCs w:val="28"/>
        </w:rPr>
        <w:t>EVENT</w:t>
      </w:r>
      <w:r w:rsidR="00D36611" w:rsidRPr="00267F6B">
        <w:rPr>
          <w:rFonts w:ascii="Times New Roman" w:hAnsi="Times New Roman"/>
          <w:w w:val="95"/>
          <w:sz w:val="28"/>
          <w:szCs w:val="28"/>
        </w:rPr>
        <w:t xml:space="preserve"> RESEARCH</w:t>
      </w:r>
    </w:p>
    <w:p w:rsidR="00D64C88" w:rsidRPr="00267F6B" w:rsidRDefault="00D64C88" w:rsidP="00D64C88">
      <w:pPr>
        <w:pStyle w:val="BodyText"/>
        <w:rPr>
          <w:szCs w:val="22"/>
        </w:rPr>
      </w:pPr>
      <w:r w:rsidRPr="00267F6B">
        <w:rPr>
          <w:szCs w:val="22"/>
        </w:rPr>
        <w:t xml:space="preserve">The THC will consider the objectivity and reliability of information sources used in compiling a narrative history. Whenever possible, consult </w:t>
      </w:r>
      <w:r w:rsidRPr="00267F6B">
        <w:rPr>
          <w:b/>
          <w:szCs w:val="22"/>
        </w:rPr>
        <w:t>primary source</w:t>
      </w:r>
      <w:r w:rsidRPr="00267F6B">
        <w:rPr>
          <w:szCs w:val="22"/>
        </w:rPr>
        <w:t xml:space="preserve"> material. Primary sources ― those that are contemporary with the topic ― include newspaper accounts, diaries, meeting minutes, deed records, </w:t>
      </w:r>
      <w:r w:rsidRPr="00267F6B">
        <w:rPr>
          <w:szCs w:val="22"/>
        </w:rPr>
        <w:lastRenderedPageBreak/>
        <w:t xml:space="preserve">census records and legal documents. Such sources, as well as the recollections of disinterested, unbiased and authoritative persons, are preferred over secondary sources. </w:t>
      </w:r>
    </w:p>
    <w:p w:rsidR="00D64C88" w:rsidRPr="00267F6B" w:rsidRDefault="00D64C88" w:rsidP="00D64C88">
      <w:pPr>
        <w:autoSpaceDE w:val="0"/>
        <w:autoSpaceDN w:val="0"/>
        <w:adjustRightInd w:val="0"/>
        <w:rPr>
          <w:b/>
          <w:bCs/>
          <w:sz w:val="22"/>
          <w:szCs w:val="22"/>
        </w:rPr>
      </w:pPr>
    </w:p>
    <w:p w:rsidR="00D64C88" w:rsidRPr="00267F6B" w:rsidRDefault="00D64C88" w:rsidP="00D64C88">
      <w:pPr>
        <w:pStyle w:val="BodyText"/>
        <w:rPr>
          <w:szCs w:val="22"/>
        </w:rPr>
      </w:pPr>
      <w:r w:rsidRPr="00267F6B">
        <w:rPr>
          <w:szCs w:val="22"/>
        </w:rPr>
        <w:t xml:space="preserve">When using </w:t>
      </w:r>
      <w:r w:rsidRPr="00267F6B">
        <w:rPr>
          <w:b/>
          <w:szCs w:val="22"/>
        </w:rPr>
        <w:t>secondary sources</w:t>
      </w:r>
      <w:r w:rsidRPr="00267F6B">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267F6B" w:rsidRDefault="00BB1190" w:rsidP="00532046">
      <w:pPr>
        <w:autoSpaceDE w:val="0"/>
        <w:autoSpaceDN w:val="0"/>
        <w:adjustRightInd w:val="0"/>
        <w:rPr>
          <w:b/>
          <w:bCs/>
        </w:rPr>
      </w:pPr>
    </w:p>
    <w:p w:rsidR="007E6587" w:rsidRPr="00267F6B" w:rsidRDefault="007E6587" w:rsidP="00532046">
      <w:pPr>
        <w:autoSpaceDE w:val="0"/>
        <w:autoSpaceDN w:val="0"/>
        <w:adjustRightInd w:val="0"/>
        <w:rPr>
          <w:b/>
          <w:bCs/>
          <w:sz w:val="28"/>
          <w:szCs w:val="28"/>
        </w:rPr>
      </w:pPr>
      <w:r w:rsidRPr="00267F6B">
        <w:rPr>
          <w:b/>
          <w:bCs/>
          <w:sz w:val="28"/>
          <w:szCs w:val="28"/>
        </w:rPr>
        <w:t xml:space="preserve">SUGGESTED SOURCES FOR COMPILING </w:t>
      </w:r>
      <w:r w:rsidR="00542109" w:rsidRPr="00267F6B">
        <w:rPr>
          <w:b/>
          <w:bCs/>
          <w:sz w:val="28"/>
          <w:szCs w:val="28"/>
        </w:rPr>
        <w:t>EVENT</w:t>
      </w:r>
      <w:r w:rsidRPr="00267F6B">
        <w:rPr>
          <w:b/>
          <w:bCs/>
          <w:sz w:val="28"/>
          <w:szCs w:val="28"/>
        </w:rPr>
        <w:t xml:space="preserve"> HISTORIES</w:t>
      </w:r>
    </w:p>
    <w:p w:rsidR="00532046" w:rsidRPr="00267F6B" w:rsidRDefault="00532046" w:rsidP="00532046">
      <w:pPr>
        <w:autoSpaceDE w:val="0"/>
        <w:autoSpaceDN w:val="0"/>
        <w:adjustRightInd w:val="0"/>
        <w:rPr>
          <w:b/>
          <w:bCs/>
          <w:sz w:val="22"/>
          <w:szCs w:val="22"/>
        </w:rPr>
      </w:pPr>
      <w:r w:rsidRPr="00267F6B">
        <w:rPr>
          <w:b/>
          <w:bCs/>
          <w:sz w:val="22"/>
          <w:szCs w:val="22"/>
        </w:rPr>
        <w:t>Government Records</w:t>
      </w:r>
    </w:p>
    <w:p w:rsidR="00532046" w:rsidRPr="00267F6B" w:rsidRDefault="00532046" w:rsidP="00222A35">
      <w:pPr>
        <w:numPr>
          <w:ilvl w:val="0"/>
          <w:numId w:val="15"/>
        </w:numPr>
        <w:autoSpaceDE w:val="0"/>
        <w:autoSpaceDN w:val="0"/>
        <w:adjustRightInd w:val="0"/>
        <w:rPr>
          <w:sz w:val="22"/>
          <w:szCs w:val="22"/>
        </w:rPr>
      </w:pPr>
      <w:r w:rsidRPr="00267F6B">
        <w:rPr>
          <w:sz w:val="22"/>
          <w:szCs w:val="22"/>
        </w:rPr>
        <w:t>Municipal (building permits, minutes of official meetings, ordinances, tax records)</w:t>
      </w:r>
    </w:p>
    <w:p w:rsidR="00532046" w:rsidRPr="00267F6B" w:rsidRDefault="00532046" w:rsidP="00532046">
      <w:pPr>
        <w:autoSpaceDE w:val="0"/>
        <w:autoSpaceDN w:val="0"/>
        <w:adjustRightInd w:val="0"/>
        <w:rPr>
          <w:b/>
          <w:bCs/>
          <w:sz w:val="22"/>
          <w:szCs w:val="22"/>
        </w:rPr>
      </w:pPr>
      <w:r w:rsidRPr="00267F6B">
        <w:rPr>
          <w:b/>
          <w:bCs/>
          <w:sz w:val="22"/>
          <w:szCs w:val="22"/>
        </w:rPr>
        <w:t>Institutional Records</w:t>
      </w:r>
    </w:p>
    <w:p w:rsidR="00532046" w:rsidRPr="00267F6B" w:rsidRDefault="00532046" w:rsidP="00222A35">
      <w:pPr>
        <w:numPr>
          <w:ilvl w:val="0"/>
          <w:numId w:val="17"/>
        </w:numPr>
        <w:autoSpaceDE w:val="0"/>
        <w:autoSpaceDN w:val="0"/>
        <w:adjustRightInd w:val="0"/>
        <w:rPr>
          <w:sz w:val="22"/>
          <w:szCs w:val="22"/>
        </w:rPr>
      </w:pPr>
      <w:r w:rsidRPr="00267F6B">
        <w:rPr>
          <w:sz w:val="22"/>
          <w:szCs w:val="22"/>
        </w:rPr>
        <w:t>Cemetery (family relationships, birth and death dates)</w:t>
      </w:r>
    </w:p>
    <w:p w:rsidR="00532046" w:rsidRPr="00267F6B" w:rsidRDefault="00532046" w:rsidP="00532046">
      <w:pPr>
        <w:autoSpaceDE w:val="0"/>
        <w:autoSpaceDN w:val="0"/>
        <w:adjustRightInd w:val="0"/>
        <w:rPr>
          <w:b/>
          <w:bCs/>
          <w:sz w:val="22"/>
          <w:szCs w:val="22"/>
        </w:rPr>
      </w:pPr>
      <w:r w:rsidRPr="00267F6B">
        <w:rPr>
          <w:b/>
          <w:bCs/>
          <w:sz w:val="22"/>
          <w:szCs w:val="22"/>
        </w:rPr>
        <w:t>Family Papers</w:t>
      </w:r>
    </w:p>
    <w:p w:rsidR="00532046" w:rsidRPr="00267F6B" w:rsidRDefault="00532046" w:rsidP="00222A35">
      <w:pPr>
        <w:numPr>
          <w:ilvl w:val="0"/>
          <w:numId w:val="19"/>
        </w:numPr>
        <w:autoSpaceDE w:val="0"/>
        <w:autoSpaceDN w:val="0"/>
        <w:adjustRightInd w:val="0"/>
        <w:rPr>
          <w:sz w:val="22"/>
          <w:szCs w:val="22"/>
        </w:rPr>
      </w:pPr>
      <w:r w:rsidRPr="00267F6B">
        <w:rPr>
          <w:sz w:val="22"/>
          <w:szCs w:val="22"/>
        </w:rPr>
        <w:t>Letters and diaries (biographical information, building information, social and economic history)</w:t>
      </w:r>
    </w:p>
    <w:p w:rsidR="00532046" w:rsidRPr="00267F6B" w:rsidRDefault="00B85F14" w:rsidP="00222A35">
      <w:pPr>
        <w:numPr>
          <w:ilvl w:val="0"/>
          <w:numId w:val="19"/>
        </w:numPr>
        <w:autoSpaceDE w:val="0"/>
        <w:autoSpaceDN w:val="0"/>
        <w:adjustRightInd w:val="0"/>
        <w:rPr>
          <w:sz w:val="22"/>
          <w:szCs w:val="22"/>
        </w:rPr>
      </w:pPr>
      <w:r w:rsidRPr="00267F6B">
        <w:rPr>
          <w:sz w:val="22"/>
          <w:szCs w:val="22"/>
        </w:rPr>
        <w:t>Photographs (biographical information, building information)</w:t>
      </w:r>
    </w:p>
    <w:p w:rsidR="00532046" w:rsidRPr="00267F6B" w:rsidRDefault="00532046" w:rsidP="00532046">
      <w:pPr>
        <w:autoSpaceDE w:val="0"/>
        <w:autoSpaceDN w:val="0"/>
        <w:adjustRightInd w:val="0"/>
        <w:rPr>
          <w:b/>
          <w:bCs/>
          <w:sz w:val="22"/>
          <w:szCs w:val="22"/>
        </w:rPr>
      </w:pPr>
      <w:r w:rsidRPr="00267F6B">
        <w:rPr>
          <w:b/>
          <w:bCs/>
          <w:sz w:val="22"/>
          <w:szCs w:val="22"/>
        </w:rPr>
        <w:t>Newspapers and Journals</w:t>
      </w:r>
    </w:p>
    <w:p w:rsidR="00532046" w:rsidRPr="00267F6B" w:rsidRDefault="00532046" w:rsidP="00222A35">
      <w:pPr>
        <w:numPr>
          <w:ilvl w:val="0"/>
          <w:numId w:val="25"/>
        </w:numPr>
        <w:autoSpaceDE w:val="0"/>
        <w:autoSpaceDN w:val="0"/>
        <w:adjustRightInd w:val="0"/>
        <w:rPr>
          <w:sz w:val="22"/>
          <w:szCs w:val="22"/>
        </w:rPr>
      </w:pPr>
      <w:r w:rsidRPr="00267F6B">
        <w:rPr>
          <w:sz w:val="22"/>
          <w:szCs w:val="22"/>
        </w:rPr>
        <w:t>Articles (significant local events, economic history, social history, building information)</w:t>
      </w:r>
    </w:p>
    <w:p w:rsidR="00532046" w:rsidRPr="00267F6B" w:rsidRDefault="00532046" w:rsidP="00532046">
      <w:pPr>
        <w:autoSpaceDE w:val="0"/>
        <w:autoSpaceDN w:val="0"/>
        <w:adjustRightInd w:val="0"/>
        <w:rPr>
          <w:b/>
          <w:bCs/>
          <w:sz w:val="22"/>
          <w:szCs w:val="22"/>
        </w:rPr>
      </w:pPr>
      <w:r w:rsidRPr="00267F6B">
        <w:rPr>
          <w:b/>
          <w:bCs/>
          <w:sz w:val="22"/>
          <w:szCs w:val="22"/>
        </w:rPr>
        <w:t>Oral Histories</w:t>
      </w:r>
    </w:p>
    <w:p w:rsidR="00532046" w:rsidRPr="00267F6B" w:rsidRDefault="00532046" w:rsidP="00222A35">
      <w:pPr>
        <w:numPr>
          <w:ilvl w:val="0"/>
          <w:numId w:val="26"/>
        </w:numPr>
        <w:autoSpaceDE w:val="0"/>
        <w:autoSpaceDN w:val="0"/>
        <w:adjustRightInd w:val="0"/>
        <w:rPr>
          <w:sz w:val="22"/>
          <w:szCs w:val="22"/>
        </w:rPr>
      </w:pPr>
      <w:r w:rsidRPr="00267F6B">
        <w:rPr>
          <w:sz w:val="22"/>
          <w:szCs w:val="22"/>
        </w:rPr>
        <w:t>Minority history, social history, business history, building evolution and uses</w:t>
      </w:r>
    </w:p>
    <w:p w:rsidR="001116F7" w:rsidRPr="00267F6B" w:rsidRDefault="001116F7" w:rsidP="001116F7">
      <w:pPr>
        <w:autoSpaceDE w:val="0"/>
        <w:autoSpaceDN w:val="0"/>
        <w:adjustRightInd w:val="0"/>
        <w:rPr>
          <w:b/>
          <w:bCs/>
          <w:sz w:val="22"/>
          <w:szCs w:val="22"/>
        </w:rPr>
      </w:pPr>
      <w:r w:rsidRPr="00267F6B">
        <w:rPr>
          <w:b/>
          <w:bCs/>
          <w:sz w:val="22"/>
          <w:szCs w:val="22"/>
        </w:rPr>
        <w:t>Published Histories</w:t>
      </w:r>
    </w:p>
    <w:p w:rsidR="001116F7" w:rsidRPr="00267F6B" w:rsidRDefault="001116F7" w:rsidP="00222A35">
      <w:pPr>
        <w:numPr>
          <w:ilvl w:val="0"/>
          <w:numId w:val="28"/>
        </w:numPr>
        <w:autoSpaceDE w:val="0"/>
        <w:autoSpaceDN w:val="0"/>
        <w:adjustRightInd w:val="0"/>
        <w:rPr>
          <w:sz w:val="22"/>
          <w:szCs w:val="22"/>
        </w:rPr>
      </w:pPr>
      <w:r w:rsidRPr="00267F6B">
        <w:rPr>
          <w:sz w:val="22"/>
          <w:szCs w:val="22"/>
        </w:rPr>
        <w:t>County (information on buildings, people, institutions, events)</w:t>
      </w:r>
    </w:p>
    <w:p w:rsidR="001116F7" w:rsidRPr="00267F6B" w:rsidRDefault="001116F7" w:rsidP="00222A35">
      <w:pPr>
        <w:numPr>
          <w:ilvl w:val="0"/>
          <w:numId w:val="28"/>
        </w:numPr>
        <w:autoSpaceDE w:val="0"/>
        <w:autoSpaceDN w:val="0"/>
        <w:adjustRightInd w:val="0"/>
        <w:rPr>
          <w:sz w:val="22"/>
          <w:szCs w:val="22"/>
        </w:rPr>
      </w:pPr>
      <w:r w:rsidRPr="00267F6B">
        <w:rPr>
          <w:sz w:val="22"/>
          <w:szCs w:val="22"/>
        </w:rPr>
        <w:t>Community (information on buildings, people, institutions, events)</w:t>
      </w:r>
    </w:p>
    <w:p w:rsidR="001116F7" w:rsidRPr="00267F6B" w:rsidRDefault="001116F7" w:rsidP="00222A35">
      <w:pPr>
        <w:numPr>
          <w:ilvl w:val="0"/>
          <w:numId w:val="28"/>
        </w:numPr>
        <w:autoSpaceDE w:val="0"/>
        <w:autoSpaceDN w:val="0"/>
        <w:adjustRightInd w:val="0"/>
        <w:rPr>
          <w:sz w:val="22"/>
          <w:szCs w:val="22"/>
        </w:rPr>
      </w:pPr>
      <w:r w:rsidRPr="00267F6B">
        <w:rPr>
          <w:i/>
          <w:sz w:val="22"/>
          <w:szCs w:val="22"/>
        </w:rPr>
        <w:t xml:space="preserve">Handbook of </w:t>
      </w:r>
      <w:smartTag w:uri="urn:schemas-microsoft-com:office:smarttags" w:element="State">
        <w:smartTag w:uri="urn:schemas-microsoft-com:office:smarttags" w:element="place">
          <w:r w:rsidRPr="00267F6B">
            <w:rPr>
              <w:i/>
              <w:sz w:val="22"/>
              <w:szCs w:val="22"/>
            </w:rPr>
            <w:t>Texas</w:t>
          </w:r>
        </w:smartTag>
      </w:smartTag>
      <w:r w:rsidRPr="00267F6B">
        <w:rPr>
          <w:sz w:val="22"/>
          <w:szCs w:val="22"/>
        </w:rPr>
        <w:t xml:space="preserve">, Texas State Historical Association, online or </w:t>
      </w:r>
      <w:r w:rsidR="00801129" w:rsidRPr="00267F6B">
        <w:rPr>
          <w:sz w:val="22"/>
          <w:szCs w:val="22"/>
        </w:rPr>
        <w:t xml:space="preserve">in </w:t>
      </w:r>
      <w:r w:rsidRPr="00267F6B">
        <w:rPr>
          <w:sz w:val="22"/>
          <w:szCs w:val="22"/>
        </w:rPr>
        <w:t>print</w:t>
      </w:r>
    </w:p>
    <w:p w:rsidR="00A17F06" w:rsidRPr="00267F6B" w:rsidRDefault="0024082F" w:rsidP="00CA7AD5">
      <w:pPr>
        <w:pStyle w:val="BodyText"/>
        <w:rPr>
          <w:b/>
          <w:szCs w:val="22"/>
        </w:rPr>
      </w:pPr>
      <w:r w:rsidRPr="00267F6B">
        <w:rPr>
          <w:b/>
          <w:szCs w:val="22"/>
        </w:rPr>
        <w:t>Online Sources</w:t>
      </w:r>
    </w:p>
    <w:p w:rsidR="00A26243" w:rsidRPr="00267F6B" w:rsidRDefault="0024082F" w:rsidP="00C76AE2">
      <w:pPr>
        <w:pStyle w:val="BodyText"/>
        <w:numPr>
          <w:ilvl w:val="0"/>
          <w:numId w:val="28"/>
        </w:numPr>
        <w:rPr>
          <w:szCs w:val="22"/>
        </w:rPr>
      </w:pPr>
      <w:r w:rsidRPr="00267F6B">
        <w:rPr>
          <w:szCs w:val="22"/>
        </w:rPr>
        <w:t>Texas Reference Sources (</w:t>
      </w:r>
      <w:hyperlink r:id="rId6" w:history="1">
        <w:r w:rsidR="00C76AE2" w:rsidRPr="00333322">
          <w:rPr>
            <w:rStyle w:val="Hyperlink"/>
            <w:szCs w:val="22"/>
          </w:rPr>
          <w:t>http://www.txla.org/trsonline.html</w:t>
        </w:r>
      </w:hyperlink>
      <w:r w:rsidRPr="00267F6B">
        <w:rPr>
          <w:szCs w:val="22"/>
        </w:rPr>
        <w:t>)</w:t>
      </w:r>
    </w:p>
    <w:p w:rsidR="00A26243" w:rsidRPr="00267F6B" w:rsidRDefault="00F81E80" w:rsidP="0024082F">
      <w:pPr>
        <w:pStyle w:val="BodyText"/>
        <w:numPr>
          <w:ilvl w:val="0"/>
          <w:numId w:val="28"/>
        </w:numPr>
        <w:rPr>
          <w:szCs w:val="22"/>
        </w:rPr>
      </w:pPr>
      <w:r>
        <w:rPr>
          <w:szCs w:val="22"/>
        </w:rPr>
        <w:t>Portal to Texas History</w:t>
      </w:r>
      <w:r w:rsidR="00A26243" w:rsidRPr="00267F6B">
        <w:rPr>
          <w:szCs w:val="22"/>
        </w:rPr>
        <w:t xml:space="preserve"> (</w:t>
      </w:r>
      <w:hyperlink r:id="rId7" w:history="1">
        <w:r w:rsidRPr="00F81E80">
          <w:rPr>
            <w:rStyle w:val="Hyperlink"/>
            <w:szCs w:val="22"/>
          </w:rPr>
          <w:t>http://texashistory.unt.edu/</w:t>
        </w:r>
      </w:hyperlink>
      <w:r w:rsidR="00A26243" w:rsidRPr="00267F6B">
        <w:rPr>
          <w:szCs w:val="22"/>
        </w:rPr>
        <w:t>)</w:t>
      </w:r>
    </w:p>
    <w:p w:rsidR="0024082F" w:rsidRPr="00267F6B" w:rsidRDefault="00A26243" w:rsidP="0024082F">
      <w:pPr>
        <w:pStyle w:val="BodyText"/>
        <w:numPr>
          <w:ilvl w:val="0"/>
          <w:numId w:val="28"/>
        </w:numPr>
        <w:rPr>
          <w:szCs w:val="22"/>
        </w:rPr>
      </w:pPr>
      <w:r w:rsidRPr="00267F6B">
        <w:rPr>
          <w:szCs w:val="22"/>
        </w:rPr>
        <w:t>The Handbook of Texas Online (</w:t>
      </w:r>
      <w:hyperlink r:id="rId8" w:history="1">
        <w:r w:rsidR="00F81E80" w:rsidRPr="00F81E80">
          <w:rPr>
            <w:rStyle w:val="Hyperlink"/>
            <w:szCs w:val="22"/>
          </w:rPr>
          <w:t>http://www.tshaonline.org/handbook/online/</w:t>
        </w:r>
      </w:hyperlink>
      <w:r w:rsidRPr="00267F6B">
        <w:rPr>
          <w:szCs w:val="22"/>
        </w:rPr>
        <w:t>)</w:t>
      </w:r>
    </w:p>
    <w:p w:rsidR="00B85F14" w:rsidRPr="00267F6B" w:rsidRDefault="00F81E80" w:rsidP="0024082F">
      <w:pPr>
        <w:pStyle w:val="BodyText"/>
        <w:numPr>
          <w:ilvl w:val="0"/>
          <w:numId w:val="28"/>
        </w:numPr>
        <w:rPr>
          <w:szCs w:val="22"/>
        </w:rPr>
      </w:pPr>
      <w:r>
        <w:rPr>
          <w:szCs w:val="22"/>
        </w:rPr>
        <w:t xml:space="preserve">Baylor </w:t>
      </w:r>
      <w:r w:rsidR="00B85F14" w:rsidRPr="00267F6B">
        <w:rPr>
          <w:szCs w:val="22"/>
        </w:rPr>
        <w:t>Institute for Oral History (</w:t>
      </w:r>
      <w:hyperlink r:id="rId9" w:history="1">
        <w:r w:rsidR="00B85F14" w:rsidRPr="00267F6B">
          <w:rPr>
            <w:rStyle w:val="Hyperlink"/>
            <w:szCs w:val="22"/>
          </w:rPr>
          <w:t>http://www.baylor.edu/Oral_History/</w:t>
        </w:r>
      </w:hyperlink>
      <w:r w:rsidR="00B85F14" w:rsidRPr="00267F6B">
        <w:rPr>
          <w:szCs w:val="22"/>
        </w:rPr>
        <w:t>)</w:t>
      </w:r>
    </w:p>
    <w:p w:rsidR="00B85F14" w:rsidRPr="00267F6B" w:rsidRDefault="00B85F14" w:rsidP="00C76AE2">
      <w:pPr>
        <w:pStyle w:val="BodyText"/>
        <w:numPr>
          <w:ilvl w:val="0"/>
          <w:numId w:val="28"/>
        </w:numPr>
        <w:rPr>
          <w:szCs w:val="22"/>
        </w:rPr>
      </w:pPr>
      <w:r w:rsidRPr="00267F6B">
        <w:rPr>
          <w:szCs w:val="22"/>
        </w:rPr>
        <w:t>Texas State Library and Archives Commission (</w:t>
      </w:r>
      <w:hyperlink r:id="rId10" w:history="1">
        <w:r w:rsidR="00C76AE2" w:rsidRPr="00333322">
          <w:rPr>
            <w:rStyle w:val="Hyperlink"/>
            <w:szCs w:val="22"/>
          </w:rPr>
          <w:t>https://www.tsl.texas.gov/</w:t>
        </w:r>
      </w:hyperlink>
      <w:r w:rsidRPr="00267F6B">
        <w:rPr>
          <w:szCs w:val="22"/>
        </w:rPr>
        <w:t>)</w:t>
      </w:r>
    </w:p>
    <w:p w:rsidR="00B85F14" w:rsidRPr="00267F6B" w:rsidRDefault="00B85F14" w:rsidP="00B85F14">
      <w:pPr>
        <w:pStyle w:val="BodyText"/>
        <w:rPr>
          <w:sz w:val="24"/>
        </w:rPr>
      </w:pPr>
    </w:p>
    <w:p w:rsidR="004B3C1C" w:rsidRPr="00267F6B" w:rsidRDefault="004B3C1C" w:rsidP="004B3C1C">
      <w:pPr>
        <w:pStyle w:val="Heading4"/>
        <w:rPr>
          <w:bCs w:val="0"/>
          <w:w w:val="95"/>
        </w:rPr>
      </w:pPr>
      <w:r w:rsidRPr="00267F6B">
        <w:rPr>
          <w:w w:val="95"/>
        </w:rPr>
        <w:t>PREPARING THE REFERENCE NOTES</w:t>
      </w:r>
    </w:p>
    <w:p w:rsidR="00D64C88" w:rsidRPr="00267F6B" w:rsidRDefault="00D64C88" w:rsidP="00D64C88">
      <w:pPr>
        <w:rPr>
          <w:sz w:val="22"/>
          <w:szCs w:val="22"/>
        </w:rPr>
      </w:pPr>
      <w:r w:rsidRPr="00267F6B">
        <w:rPr>
          <w:sz w:val="22"/>
          <w:szCs w:val="22"/>
        </w:rPr>
        <w:t xml:space="preserve">For the specific purposes of the Official Texas Historical Marker Program, the </w:t>
      </w:r>
      <w:r w:rsidRPr="00267F6B">
        <w:rPr>
          <w:b/>
          <w:sz w:val="22"/>
          <w:szCs w:val="22"/>
        </w:rPr>
        <w:t xml:space="preserve">required </w:t>
      </w:r>
      <w:r w:rsidRPr="00267F6B">
        <w:rPr>
          <w:sz w:val="22"/>
          <w:szCs w:val="22"/>
        </w:rPr>
        <w:t>means of resource documentation to be used in preparing the historical narrative are reference notes. Generally speaking, facts that cannot be assumed to be common knowledge should be documented with a reference note. They can be either footnotes (placed at the foot of the page on w</w:t>
      </w:r>
      <w:r w:rsidR="007E1278" w:rsidRPr="00267F6B">
        <w:rPr>
          <w:sz w:val="22"/>
          <w:szCs w:val="22"/>
        </w:rPr>
        <w:t>hich the fact is</w:t>
      </w:r>
      <w:r w:rsidRPr="00267F6B">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easily. </w:t>
      </w:r>
    </w:p>
    <w:p w:rsidR="00D64C88" w:rsidRPr="00267F6B" w:rsidRDefault="00D64C88" w:rsidP="00D64C88">
      <w:pPr>
        <w:rPr>
          <w:sz w:val="22"/>
          <w:szCs w:val="22"/>
        </w:rPr>
      </w:pPr>
    </w:p>
    <w:p w:rsidR="00D64C88" w:rsidRPr="00267F6B" w:rsidRDefault="00D64C88" w:rsidP="00D64C88">
      <w:pPr>
        <w:rPr>
          <w:sz w:val="22"/>
          <w:szCs w:val="22"/>
        </w:rPr>
      </w:pPr>
      <w:r w:rsidRPr="00267F6B">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w:t>
      </w:r>
      <w:r w:rsidRPr="00267F6B">
        <w:rPr>
          <w:b/>
          <w:sz w:val="22"/>
          <w:szCs w:val="22"/>
        </w:rPr>
        <w:t>Note</w:t>
      </w:r>
      <w:r w:rsidRPr="00267F6B">
        <w:rPr>
          <w:sz w:val="22"/>
          <w:szCs w:val="22"/>
        </w:rPr>
        <w:t xml:space="preserve">: With the use of full citation footnotes, a bibliography is no longer a required element of marker applications. </w:t>
      </w:r>
    </w:p>
    <w:p w:rsidR="004B3C1C" w:rsidRPr="00267F6B" w:rsidRDefault="004B3C1C" w:rsidP="004B3C1C">
      <w:pPr>
        <w:pStyle w:val="BodyText"/>
        <w:rPr>
          <w:szCs w:val="22"/>
        </w:rPr>
      </w:pPr>
    </w:p>
    <w:p w:rsidR="004B3C1C" w:rsidRPr="00267F6B" w:rsidRDefault="004B3C1C" w:rsidP="004B3C1C">
      <w:pPr>
        <w:pStyle w:val="BodyText"/>
        <w:rPr>
          <w:b/>
          <w:szCs w:val="22"/>
        </w:rPr>
      </w:pPr>
      <w:r w:rsidRPr="00267F6B">
        <w:rPr>
          <w:b/>
          <w:szCs w:val="22"/>
        </w:rPr>
        <w:t>Examples of First Full Citations (Footnotes or Endnotes):</w:t>
      </w:r>
    </w:p>
    <w:p w:rsidR="004B3C1C" w:rsidRPr="00267F6B" w:rsidRDefault="004B3C1C" w:rsidP="004B3C1C">
      <w:pPr>
        <w:pStyle w:val="BodyText"/>
        <w:rPr>
          <w:szCs w:val="22"/>
        </w:rPr>
      </w:pPr>
      <w:r w:rsidRPr="00267F6B">
        <w:rPr>
          <w:szCs w:val="22"/>
          <w:vertAlign w:val="superscript"/>
        </w:rPr>
        <w:t>1</w:t>
      </w:r>
      <w:r w:rsidRPr="00267F6B">
        <w:rPr>
          <w:szCs w:val="22"/>
        </w:rPr>
        <w:t xml:space="preserve">  Terry G. </w:t>
      </w:r>
      <w:smartTag w:uri="urn:schemas-microsoft-com:office:smarttags" w:element="country-region">
        <w:r w:rsidRPr="00267F6B">
          <w:rPr>
            <w:szCs w:val="22"/>
          </w:rPr>
          <w:t>Jordan</w:t>
        </w:r>
      </w:smartTag>
      <w:r w:rsidRPr="00267F6B">
        <w:rPr>
          <w:szCs w:val="22"/>
        </w:rPr>
        <w:t xml:space="preserve">, </w:t>
      </w:r>
      <w:smartTag w:uri="urn:schemas-microsoft-com:office:smarttags" w:element="place">
        <w:smartTag w:uri="urn:schemas-microsoft-com:office:smarttags" w:element="State">
          <w:r w:rsidRPr="00267F6B">
            <w:rPr>
              <w:i/>
              <w:iCs/>
              <w:szCs w:val="22"/>
            </w:rPr>
            <w:t>Texas</w:t>
          </w:r>
        </w:smartTag>
      </w:smartTag>
      <w:r w:rsidRPr="00267F6B">
        <w:rPr>
          <w:i/>
          <w:iCs/>
          <w:szCs w:val="22"/>
        </w:rPr>
        <w:t xml:space="preserve"> Graveyards: A Cultural Legacy</w:t>
      </w:r>
      <w:r w:rsidRPr="00267F6B">
        <w:rPr>
          <w:szCs w:val="22"/>
        </w:rPr>
        <w:t xml:space="preserve"> (Austin: University of Texas Press, 1982), p. 79.</w:t>
      </w:r>
    </w:p>
    <w:p w:rsidR="004B3C1C" w:rsidRPr="00267F6B" w:rsidRDefault="004B3C1C" w:rsidP="004B3C1C">
      <w:pPr>
        <w:rPr>
          <w:sz w:val="22"/>
          <w:szCs w:val="22"/>
        </w:rPr>
      </w:pPr>
      <w:r w:rsidRPr="00267F6B">
        <w:rPr>
          <w:sz w:val="22"/>
          <w:szCs w:val="22"/>
          <w:vertAlign w:val="superscript"/>
        </w:rPr>
        <w:lastRenderedPageBreak/>
        <w:t xml:space="preserve">2 </w:t>
      </w:r>
      <w:r w:rsidRPr="00267F6B">
        <w:rPr>
          <w:sz w:val="22"/>
          <w:szCs w:val="22"/>
        </w:rPr>
        <w:t xml:space="preserve"> </w:t>
      </w:r>
      <w:smartTag w:uri="urn:schemas-microsoft-com:office:smarttags" w:element="place">
        <w:smartTag w:uri="urn:schemas-microsoft-com:office:smarttags" w:element="PlaceName">
          <w:r w:rsidRPr="00267F6B">
            <w:rPr>
              <w:sz w:val="22"/>
              <w:szCs w:val="22"/>
            </w:rPr>
            <w:t>Orange</w:t>
          </w:r>
        </w:smartTag>
        <w:r w:rsidRPr="00267F6B">
          <w:rPr>
            <w:sz w:val="22"/>
            <w:szCs w:val="22"/>
          </w:rPr>
          <w:t xml:space="preserve"> </w:t>
        </w:r>
        <w:smartTag w:uri="urn:schemas-microsoft-com:office:smarttags" w:element="PlaceType">
          <w:r w:rsidRPr="00267F6B">
            <w:rPr>
              <w:sz w:val="22"/>
              <w:szCs w:val="22"/>
            </w:rPr>
            <w:t>County</w:t>
          </w:r>
        </w:smartTag>
      </w:smartTag>
      <w:r w:rsidRPr="00267F6B">
        <w:rPr>
          <w:sz w:val="22"/>
          <w:szCs w:val="22"/>
        </w:rPr>
        <w:t xml:space="preserve"> Deed Records, Book 4, p. 139.</w:t>
      </w:r>
    </w:p>
    <w:p w:rsidR="004B3C1C" w:rsidRPr="00267F6B" w:rsidRDefault="004B3C1C" w:rsidP="004B3C1C">
      <w:pPr>
        <w:rPr>
          <w:sz w:val="22"/>
          <w:szCs w:val="22"/>
        </w:rPr>
      </w:pPr>
      <w:r w:rsidRPr="00267F6B">
        <w:rPr>
          <w:sz w:val="22"/>
          <w:szCs w:val="22"/>
          <w:vertAlign w:val="superscript"/>
        </w:rPr>
        <w:t xml:space="preserve">3 </w:t>
      </w:r>
      <w:r w:rsidRPr="00267F6B">
        <w:rPr>
          <w:sz w:val="22"/>
          <w:szCs w:val="22"/>
        </w:rPr>
        <w:t xml:space="preserve"> 1900 </w:t>
      </w:r>
      <w:smartTag w:uri="urn:schemas-microsoft-com:office:smarttags" w:element="country-region">
        <w:r w:rsidRPr="00267F6B">
          <w:rPr>
            <w:sz w:val="22"/>
            <w:szCs w:val="22"/>
          </w:rPr>
          <w:t>United States</w:t>
        </w:r>
      </w:smartTag>
      <w:r w:rsidRPr="00267F6B">
        <w:rPr>
          <w:sz w:val="22"/>
          <w:szCs w:val="22"/>
        </w:rPr>
        <w:t xml:space="preserve"> Census, </w:t>
      </w:r>
      <w:smartTag w:uri="urn:schemas-microsoft-com:office:smarttags" w:element="place">
        <w:smartTag w:uri="urn:schemas-microsoft-com:office:smarttags" w:element="City">
          <w:r w:rsidRPr="00267F6B">
            <w:rPr>
              <w:sz w:val="22"/>
              <w:szCs w:val="22"/>
            </w:rPr>
            <w:t>Fort Bend County</w:t>
          </w:r>
        </w:smartTag>
        <w:r w:rsidRPr="00267F6B">
          <w:rPr>
            <w:sz w:val="22"/>
            <w:szCs w:val="22"/>
          </w:rPr>
          <w:t xml:space="preserve">, </w:t>
        </w:r>
        <w:smartTag w:uri="urn:schemas-microsoft-com:office:smarttags" w:element="State">
          <w:r w:rsidRPr="00267F6B">
            <w:rPr>
              <w:sz w:val="22"/>
              <w:szCs w:val="22"/>
            </w:rPr>
            <w:t>Texas</w:t>
          </w:r>
        </w:smartTag>
      </w:smartTag>
      <w:r w:rsidRPr="00267F6B">
        <w:rPr>
          <w:sz w:val="22"/>
          <w:szCs w:val="22"/>
        </w:rPr>
        <w:t xml:space="preserve"> (Roll 1553) Enumeration District 16, p. 16.</w:t>
      </w:r>
    </w:p>
    <w:p w:rsidR="004B3C1C" w:rsidRPr="00267F6B" w:rsidRDefault="004B3C1C" w:rsidP="004B3C1C">
      <w:pPr>
        <w:rPr>
          <w:sz w:val="22"/>
          <w:szCs w:val="22"/>
        </w:rPr>
      </w:pPr>
      <w:r w:rsidRPr="00267F6B">
        <w:rPr>
          <w:sz w:val="22"/>
          <w:szCs w:val="22"/>
          <w:vertAlign w:val="superscript"/>
        </w:rPr>
        <w:t xml:space="preserve">4 </w:t>
      </w:r>
      <w:r w:rsidRPr="00267F6B">
        <w:rPr>
          <w:sz w:val="22"/>
          <w:szCs w:val="22"/>
        </w:rPr>
        <w:t xml:space="preserve"> Bessie Jones. Interview with Scotty Jergenson, June 21, 1991. Tape recording and transcript available at the Darrouzett Public Library.</w:t>
      </w:r>
    </w:p>
    <w:p w:rsidR="004B3C1C" w:rsidRPr="00267F6B" w:rsidRDefault="004B3C1C" w:rsidP="004B3C1C">
      <w:pPr>
        <w:rPr>
          <w:sz w:val="22"/>
          <w:szCs w:val="22"/>
        </w:rPr>
      </w:pPr>
      <w:r w:rsidRPr="00267F6B">
        <w:rPr>
          <w:sz w:val="22"/>
          <w:szCs w:val="22"/>
          <w:vertAlign w:val="superscript"/>
        </w:rPr>
        <w:t xml:space="preserve">5 </w:t>
      </w:r>
      <w:r w:rsidRPr="00267F6B">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267F6B">
            <w:rPr>
              <w:sz w:val="22"/>
              <w:szCs w:val="22"/>
            </w:rPr>
            <w:t>Dallas</w:t>
          </w:r>
        </w:smartTag>
      </w:smartTag>
      <w:r w:rsidRPr="00267F6B">
        <w:rPr>
          <w:sz w:val="22"/>
          <w:szCs w:val="22"/>
        </w:rPr>
        <w:t>.</w:t>
      </w:r>
    </w:p>
    <w:p w:rsidR="004B3C1C" w:rsidRPr="00267F6B" w:rsidRDefault="004B3C1C" w:rsidP="004B3C1C">
      <w:pPr>
        <w:ind w:right="-360"/>
        <w:rPr>
          <w:sz w:val="22"/>
          <w:szCs w:val="22"/>
        </w:rPr>
      </w:pPr>
      <w:r w:rsidRPr="00267F6B">
        <w:rPr>
          <w:sz w:val="22"/>
          <w:szCs w:val="22"/>
          <w:vertAlign w:val="superscript"/>
        </w:rPr>
        <w:t xml:space="preserve">6 </w:t>
      </w:r>
      <w:r w:rsidR="003C744A" w:rsidRPr="00267F6B">
        <w:rPr>
          <w:sz w:val="22"/>
          <w:szCs w:val="22"/>
          <w:vertAlign w:val="superscript"/>
        </w:rPr>
        <w:t>“</w:t>
      </w:r>
      <w:smartTag w:uri="urn:schemas-microsoft-com:office:smarttags" w:element="place">
        <w:smartTag w:uri="urn:schemas-microsoft-com:office:smarttags" w:element="PlaceName">
          <w:r w:rsidRPr="00267F6B">
            <w:rPr>
              <w:sz w:val="22"/>
              <w:szCs w:val="22"/>
            </w:rPr>
            <w:t>San Jacinto</w:t>
          </w:r>
        </w:smartTag>
        <w:r w:rsidRPr="00267F6B">
          <w:rPr>
            <w:sz w:val="22"/>
            <w:szCs w:val="22"/>
          </w:rPr>
          <w:t xml:space="preserve"> </w:t>
        </w:r>
        <w:smartTag w:uri="urn:schemas-microsoft-com:office:smarttags" w:element="PlaceType">
          <w:r w:rsidRPr="00267F6B">
            <w:rPr>
              <w:sz w:val="22"/>
              <w:szCs w:val="22"/>
            </w:rPr>
            <w:t>Monument</w:t>
          </w:r>
        </w:smartTag>
      </w:smartTag>
      <w:r w:rsidRPr="00267F6B">
        <w:rPr>
          <w:sz w:val="22"/>
          <w:szCs w:val="22"/>
        </w:rPr>
        <w:t xml:space="preserve"> Reconditioned.” </w:t>
      </w:r>
      <w:smartTag w:uri="urn:schemas-microsoft-com:office:smarttags" w:element="place">
        <w:smartTag w:uri="urn:schemas-microsoft-com:office:smarttags" w:element="PlaceType">
          <w:r w:rsidRPr="00267F6B">
            <w:rPr>
              <w:i/>
              <w:sz w:val="22"/>
              <w:szCs w:val="22"/>
            </w:rPr>
            <w:t>Temple</w:t>
          </w:r>
        </w:smartTag>
        <w:r w:rsidRPr="00267F6B">
          <w:rPr>
            <w:i/>
            <w:sz w:val="22"/>
            <w:szCs w:val="22"/>
          </w:rPr>
          <w:t xml:space="preserve"> </w:t>
        </w:r>
        <w:smartTag w:uri="urn:schemas-microsoft-com:office:smarttags" w:element="PlaceName">
          <w:r w:rsidRPr="00267F6B">
            <w:rPr>
              <w:i/>
              <w:sz w:val="22"/>
              <w:szCs w:val="22"/>
            </w:rPr>
            <w:t>Daily</w:t>
          </w:r>
        </w:smartTag>
      </w:smartTag>
      <w:r w:rsidRPr="00267F6B">
        <w:rPr>
          <w:i/>
          <w:sz w:val="22"/>
          <w:szCs w:val="22"/>
        </w:rPr>
        <w:t xml:space="preserve"> Telegram</w:t>
      </w:r>
      <w:r w:rsidRPr="00267F6B">
        <w:rPr>
          <w:sz w:val="22"/>
          <w:szCs w:val="22"/>
        </w:rPr>
        <w:t>, Vol. 76, No. 256; July 31, 1983, p. 5-C.</w:t>
      </w:r>
    </w:p>
    <w:p w:rsidR="004B3C1C" w:rsidRPr="00267F6B" w:rsidRDefault="004B3C1C" w:rsidP="004B3C1C">
      <w:pPr>
        <w:ind w:right="-180"/>
        <w:rPr>
          <w:sz w:val="22"/>
          <w:szCs w:val="22"/>
          <w:vertAlign w:val="superscript"/>
        </w:rPr>
      </w:pPr>
    </w:p>
    <w:p w:rsidR="004B3C1C" w:rsidRPr="00267F6B" w:rsidRDefault="004B3C1C" w:rsidP="004B3C1C">
      <w:pPr>
        <w:pStyle w:val="BodyText"/>
        <w:rPr>
          <w:b/>
          <w:szCs w:val="22"/>
        </w:rPr>
      </w:pPr>
      <w:r w:rsidRPr="00267F6B">
        <w:rPr>
          <w:b/>
          <w:szCs w:val="22"/>
        </w:rPr>
        <w:t>Examples of Subsequent Citations:</w:t>
      </w:r>
    </w:p>
    <w:p w:rsidR="004B3C1C" w:rsidRPr="00267F6B" w:rsidRDefault="004B3C1C" w:rsidP="004B3C1C">
      <w:pPr>
        <w:rPr>
          <w:sz w:val="22"/>
          <w:szCs w:val="22"/>
        </w:rPr>
      </w:pPr>
      <w:r w:rsidRPr="00267F6B">
        <w:rPr>
          <w:sz w:val="22"/>
          <w:szCs w:val="22"/>
          <w:vertAlign w:val="superscript"/>
        </w:rPr>
        <w:t xml:space="preserve">9  </w:t>
      </w:r>
      <w:smartTag w:uri="urn:schemas-microsoft-com:office:smarttags" w:element="place">
        <w:smartTag w:uri="urn:schemas-microsoft-com:office:smarttags" w:element="country-region">
          <w:r w:rsidRPr="00267F6B">
            <w:rPr>
              <w:sz w:val="22"/>
              <w:szCs w:val="22"/>
            </w:rPr>
            <w:t>Jordan</w:t>
          </w:r>
        </w:smartTag>
      </w:smartTag>
      <w:r w:rsidRPr="00267F6B">
        <w:rPr>
          <w:sz w:val="22"/>
          <w:szCs w:val="22"/>
        </w:rPr>
        <w:t xml:space="preserve">, p. 83. </w:t>
      </w:r>
    </w:p>
    <w:p w:rsidR="004B3C1C" w:rsidRPr="00267F6B" w:rsidRDefault="004B3C1C" w:rsidP="004B3C1C">
      <w:pPr>
        <w:rPr>
          <w:sz w:val="22"/>
          <w:szCs w:val="22"/>
        </w:rPr>
      </w:pPr>
      <w:r w:rsidRPr="00267F6B">
        <w:rPr>
          <w:sz w:val="22"/>
          <w:szCs w:val="22"/>
          <w:vertAlign w:val="superscript"/>
        </w:rPr>
        <w:t xml:space="preserve">10 </w:t>
      </w:r>
      <w:r w:rsidRPr="00267F6B">
        <w:rPr>
          <w:sz w:val="22"/>
          <w:szCs w:val="22"/>
        </w:rPr>
        <w:t xml:space="preserve"> </w:t>
      </w:r>
      <w:smartTag w:uri="urn:schemas-microsoft-com:office:smarttags" w:element="place">
        <w:smartTag w:uri="urn:schemas-microsoft-com:office:smarttags" w:element="PlaceName">
          <w:r w:rsidRPr="00267F6B">
            <w:rPr>
              <w:sz w:val="22"/>
              <w:szCs w:val="22"/>
            </w:rPr>
            <w:t>Orange</w:t>
          </w:r>
        </w:smartTag>
        <w:r w:rsidRPr="00267F6B">
          <w:rPr>
            <w:sz w:val="22"/>
            <w:szCs w:val="22"/>
          </w:rPr>
          <w:t xml:space="preserve"> </w:t>
        </w:r>
        <w:smartTag w:uri="urn:schemas-microsoft-com:office:smarttags" w:element="PlaceType">
          <w:r w:rsidRPr="00267F6B">
            <w:rPr>
              <w:sz w:val="22"/>
              <w:szCs w:val="22"/>
            </w:rPr>
            <w:t>County</w:t>
          </w:r>
        </w:smartTag>
      </w:smartTag>
      <w:r w:rsidRPr="00267F6B">
        <w:rPr>
          <w:sz w:val="22"/>
          <w:szCs w:val="22"/>
        </w:rPr>
        <w:t xml:space="preserve"> Deed Records, p. 140.</w:t>
      </w:r>
    </w:p>
    <w:p w:rsidR="004B3C1C" w:rsidRPr="00267F6B" w:rsidRDefault="004B3C1C" w:rsidP="004B3C1C">
      <w:pPr>
        <w:rPr>
          <w:sz w:val="22"/>
          <w:szCs w:val="22"/>
        </w:rPr>
      </w:pPr>
      <w:r w:rsidRPr="00267F6B">
        <w:rPr>
          <w:sz w:val="22"/>
          <w:szCs w:val="22"/>
          <w:vertAlign w:val="superscript"/>
        </w:rPr>
        <w:t xml:space="preserve">11 </w:t>
      </w:r>
      <w:r w:rsidRPr="00267F6B">
        <w:rPr>
          <w:sz w:val="22"/>
          <w:szCs w:val="22"/>
        </w:rPr>
        <w:t xml:space="preserve"> 1900 United States Census, p. 23.</w:t>
      </w:r>
    </w:p>
    <w:p w:rsidR="004B3C1C" w:rsidRPr="00267F6B" w:rsidRDefault="004B3C1C" w:rsidP="004B3C1C">
      <w:pPr>
        <w:rPr>
          <w:sz w:val="22"/>
          <w:szCs w:val="22"/>
        </w:rPr>
      </w:pPr>
      <w:r w:rsidRPr="00267F6B">
        <w:rPr>
          <w:sz w:val="22"/>
          <w:szCs w:val="22"/>
          <w:vertAlign w:val="superscript"/>
        </w:rPr>
        <w:t xml:space="preserve">12 </w:t>
      </w:r>
      <w:r w:rsidRPr="00267F6B">
        <w:rPr>
          <w:sz w:val="22"/>
          <w:szCs w:val="22"/>
        </w:rPr>
        <w:t xml:space="preserve"> Jones, 1991.</w:t>
      </w:r>
    </w:p>
    <w:p w:rsidR="004B3C1C" w:rsidRPr="00267F6B" w:rsidRDefault="004B3C1C" w:rsidP="004B3C1C">
      <w:pPr>
        <w:rPr>
          <w:sz w:val="22"/>
          <w:szCs w:val="22"/>
        </w:rPr>
      </w:pPr>
      <w:r w:rsidRPr="00267F6B">
        <w:rPr>
          <w:sz w:val="22"/>
          <w:szCs w:val="22"/>
          <w:vertAlign w:val="superscript"/>
        </w:rPr>
        <w:t xml:space="preserve">13 </w:t>
      </w:r>
      <w:r w:rsidRPr="00267F6B">
        <w:rPr>
          <w:sz w:val="22"/>
          <w:szCs w:val="22"/>
        </w:rPr>
        <w:t xml:space="preserve"> Gutierrez letter.</w:t>
      </w:r>
    </w:p>
    <w:p w:rsidR="004B3C1C" w:rsidRPr="00267F6B" w:rsidRDefault="004B3C1C" w:rsidP="004B3C1C">
      <w:pPr>
        <w:ind w:right="-360"/>
        <w:rPr>
          <w:sz w:val="22"/>
          <w:szCs w:val="22"/>
        </w:rPr>
      </w:pPr>
      <w:r w:rsidRPr="00267F6B">
        <w:rPr>
          <w:sz w:val="22"/>
          <w:szCs w:val="22"/>
          <w:vertAlign w:val="superscript"/>
        </w:rPr>
        <w:t xml:space="preserve">14  </w:t>
      </w:r>
      <w:smartTag w:uri="urn:schemas-microsoft-com:office:smarttags" w:element="place">
        <w:smartTag w:uri="urn:schemas-microsoft-com:office:smarttags" w:element="PlaceType">
          <w:r w:rsidRPr="00267F6B">
            <w:rPr>
              <w:i/>
              <w:sz w:val="22"/>
              <w:szCs w:val="22"/>
            </w:rPr>
            <w:t>Temple</w:t>
          </w:r>
        </w:smartTag>
        <w:r w:rsidRPr="00267F6B">
          <w:rPr>
            <w:i/>
            <w:sz w:val="22"/>
            <w:szCs w:val="22"/>
          </w:rPr>
          <w:t xml:space="preserve"> </w:t>
        </w:r>
        <w:smartTag w:uri="urn:schemas-microsoft-com:office:smarttags" w:element="PlaceName">
          <w:r w:rsidRPr="00267F6B">
            <w:rPr>
              <w:i/>
              <w:sz w:val="22"/>
              <w:szCs w:val="22"/>
            </w:rPr>
            <w:t>Daily</w:t>
          </w:r>
        </w:smartTag>
      </w:smartTag>
      <w:r w:rsidRPr="00267F6B">
        <w:rPr>
          <w:i/>
          <w:sz w:val="22"/>
          <w:szCs w:val="22"/>
        </w:rPr>
        <w:t xml:space="preserve"> Telegram</w:t>
      </w:r>
      <w:r w:rsidRPr="00267F6B">
        <w:rPr>
          <w:sz w:val="22"/>
          <w:szCs w:val="22"/>
        </w:rPr>
        <w:t>, 1972, p. 5</w:t>
      </w:r>
      <w:r w:rsidR="00EC7512" w:rsidRPr="00267F6B">
        <w:rPr>
          <w:sz w:val="22"/>
          <w:szCs w:val="22"/>
        </w:rPr>
        <w:t>-</w:t>
      </w:r>
      <w:r w:rsidRPr="00267F6B">
        <w:rPr>
          <w:sz w:val="22"/>
          <w:szCs w:val="22"/>
        </w:rPr>
        <w:t>C.</w:t>
      </w:r>
    </w:p>
    <w:p w:rsidR="004B3C1C" w:rsidRPr="00267F6B" w:rsidRDefault="004B3C1C" w:rsidP="004B3C1C">
      <w:pPr>
        <w:pStyle w:val="Heading3"/>
        <w:spacing w:before="0"/>
        <w:rPr>
          <w:rFonts w:ascii="Times New Roman" w:hAnsi="Times New Roman"/>
          <w:w w:val="95"/>
          <w:szCs w:val="22"/>
        </w:rPr>
      </w:pPr>
    </w:p>
    <w:p w:rsidR="00D623F8" w:rsidRPr="00267F6B" w:rsidRDefault="00D623F8" w:rsidP="00D623F8">
      <w:pPr>
        <w:rPr>
          <w:sz w:val="22"/>
          <w:szCs w:val="22"/>
        </w:rPr>
      </w:pPr>
      <w:r w:rsidRPr="00267F6B">
        <w:rPr>
          <w:b/>
          <w:sz w:val="22"/>
          <w:szCs w:val="22"/>
        </w:rPr>
        <w:t>Note</w:t>
      </w:r>
      <w:r w:rsidRPr="00267F6B">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4B3C1C" w:rsidRPr="00267F6B" w:rsidRDefault="004B3C1C" w:rsidP="004B3C1C">
      <w:pPr>
        <w:rPr>
          <w:i/>
          <w:sz w:val="22"/>
          <w:szCs w:val="22"/>
        </w:rPr>
      </w:pPr>
    </w:p>
    <w:p w:rsidR="004B3C1C" w:rsidRPr="00267F6B" w:rsidRDefault="004B3C1C" w:rsidP="004B3C1C">
      <w:pPr>
        <w:rPr>
          <w:sz w:val="22"/>
          <w:szCs w:val="22"/>
        </w:rPr>
      </w:pPr>
      <w:smartTag w:uri="urn:schemas-microsoft-com:office:smarttags" w:element="City">
        <w:r w:rsidRPr="00267F6B">
          <w:rPr>
            <w:i/>
            <w:sz w:val="22"/>
            <w:szCs w:val="22"/>
          </w:rPr>
          <w:t>Chicago</w:t>
        </w:r>
      </w:smartTag>
      <w:r w:rsidRPr="00267F6B">
        <w:rPr>
          <w:i/>
          <w:sz w:val="22"/>
          <w:szCs w:val="22"/>
        </w:rPr>
        <w:t xml:space="preserve"> Manual of Style</w:t>
      </w:r>
      <w:r w:rsidR="00EC7512" w:rsidRPr="00267F6B">
        <w:rPr>
          <w:sz w:val="22"/>
          <w:szCs w:val="22"/>
        </w:rPr>
        <w:t>, 14th</w:t>
      </w:r>
      <w:r w:rsidRPr="00267F6B">
        <w:rPr>
          <w:sz w:val="22"/>
          <w:szCs w:val="22"/>
        </w:rPr>
        <w:t xml:space="preserve"> ed. </w:t>
      </w:r>
      <w:smartTag w:uri="urn:schemas-microsoft-com:office:smarttags" w:element="City">
        <w:r w:rsidRPr="00267F6B">
          <w:rPr>
            <w:sz w:val="22"/>
            <w:szCs w:val="22"/>
          </w:rPr>
          <w:t>Chicago</w:t>
        </w:r>
      </w:smartTag>
      <w:r w:rsidRPr="00267F6B">
        <w:rPr>
          <w:sz w:val="22"/>
          <w:szCs w:val="22"/>
        </w:rPr>
        <w:t xml:space="preserve">: </w:t>
      </w:r>
      <w:smartTag w:uri="urn:schemas-microsoft-com:office:smarttags" w:element="place">
        <w:smartTag w:uri="urn:schemas-microsoft-com:office:smarttags" w:element="PlaceType">
          <w:r w:rsidRPr="00267F6B">
            <w:rPr>
              <w:sz w:val="22"/>
              <w:szCs w:val="22"/>
            </w:rPr>
            <w:t>University</w:t>
          </w:r>
        </w:smartTag>
        <w:r w:rsidRPr="00267F6B">
          <w:rPr>
            <w:sz w:val="22"/>
            <w:szCs w:val="22"/>
          </w:rPr>
          <w:t xml:space="preserve"> of </w:t>
        </w:r>
        <w:smartTag w:uri="urn:schemas-microsoft-com:office:smarttags" w:element="PlaceName">
          <w:r w:rsidRPr="00267F6B">
            <w:rPr>
              <w:sz w:val="22"/>
              <w:szCs w:val="22"/>
            </w:rPr>
            <w:t>Chicago</w:t>
          </w:r>
        </w:smartTag>
      </w:smartTag>
      <w:r w:rsidRPr="00267F6B">
        <w:rPr>
          <w:sz w:val="22"/>
          <w:szCs w:val="22"/>
        </w:rPr>
        <w:t xml:space="preserve"> Press, 1993.</w:t>
      </w:r>
    </w:p>
    <w:p w:rsidR="004B3C1C" w:rsidRPr="00267F6B" w:rsidRDefault="004B3C1C" w:rsidP="004B3C1C">
      <w:pPr>
        <w:rPr>
          <w:sz w:val="22"/>
          <w:szCs w:val="22"/>
        </w:rPr>
      </w:pPr>
    </w:p>
    <w:p w:rsidR="004B3C1C" w:rsidRPr="00267F6B" w:rsidRDefault="004B3C1C" w:rsidP="004B3C1C">
      <w:pPr>
        <w:rPr>
          <w:sz w:val="22"/>
          <w:szCs w:val="22"/>
        </w:rPr>
      </w:pPr>
      <w:r w:rsidRPr="00267F6B">
        <w:rPr>
          <w:i/>
          <w:sz w:val="22"/>
          <w:szCs w:val="22"/>
        </w:rPr>
        <w:t>MLA Handbook for Writers of Research Papers, Theses and Dissertations</w:t>
      </w:r>
      <w:r w:rsidR="00EC7512" w:rsidRPr="00267F6B">
        <w:rPr>
          <w:sz w:val="22"/>
          <w:szCs w:val="22"/>
        </w:rPr>
        <w:t>. 5th</w:t>
      </w:r>
      <w:r w:rsidRPr="00267F6B">
        <w:rPr>
          <w:sz w:val="22"/>
          <w:szCs w:val="22"/>
        </w:rPr>
        <w:t xml:space="preserve"> ed. </w:t>
      </w:r>
      <w:smartTag w:uri="urn:schemas-microsoft-com:office:smarttags" w:element="State">
        <w:smartTag w:uri="urn:schemas-microsoft-com:office:smarttags" w:element="place">
          <w:r w:rsidRPr="00267F6B">
            <w:rPr>
              <w:sz w:val="22"/>
              <w:szCs w:val="22"/>
            </w:rPr>
            <w:t>New York</w:t>
          </w:r>
        </w:smartTag>
      </w:smartTag>
      <w:r w:rsidRPr="00267F6B">
        <w:rPr>
          <w:sz w:val="22"/>
          <w:szCs w:val="22"/>
        </w:rPr>
        <w:t>: Modern Language Association, 1999.</w:t>
      </w:r>
    </w:p>
    <w:p w:rsidR="004B3C1C" w:rsidRPr="00267F6B" w:rsidRDefault="004B3C1C" w:rsidP="004B3C1C">
      <w:pPr>
        <w:rPr>
          <w:sz w:val="22"/>
          <w:szCs w:val="22"/>
        </w:rPr>
      </w:pPr>
    </w:p>
    <w:p w:rsidR="004B3C1C" w:rsidRPr="00267F6B" w:rsidRDefault="004B3C1C" w:rsidP="004B3C1C">
      <w:pPr>
        <w:rPr>
          <w:sz w:val="22"/>
          <w:szCs w:val="22"/>
        </w:rPr>
      </w:pPr>
      <w:r w:rsidRPr="00267F6B">
        <w:rPr>
          <w:sz w:val="22"/>
          <w:szCs w:val="22"/>
        </w:rPr>
        <w:t xml:space="preserve">Turabian, Kate L. </w:t>
      </w:r>
      <w:r w:rsidRPr="00267F6B">
        <w:rPr>
          <w:i/>
          <w:sz w:val="22"/>
          <w:szCs w:val="22"/>
        </w:rPr>
        <w:t>A Manual for Writers of Term Papers, Theses and Dissertations</w:t>
      </w:r>
      <w:r w:rsidRPr="00267F6B">
        <w:rPr>
          <w:sz w:val="22"/>
          <w:szCs w:val="22"/>
        </w:rPr>
        <w:t>. Revised by Jo</w:t>
      </w:r>
      <w:r w:rsidR="00EC7512" w:rsidRPr="00267F6B">
        <w:rPr>
          <w:sz w:val="22"/>
          <w:szCs w:val="22"/>
        </w:rPr>
        <w:t>hn Grossman and Alice Bennett. 6th</w:t>
      </w:r>
      <w:r w:rsidRPr="00267F6B">
        <w:rPr>
          <w:sz w:val="22"/>
          <w:szCs w:val="22"/>
        </w:rPr>
        <w:t xml:space="preserve"> ed. </w:t>
      </w:r>
      <w:smartTag w:uri="urn:schemas-microsoft-com:office:smarttags" w:element="City">
        <w:r w:rsidRPr="00267F6B">
          <w:rPr>
            <w:sz w:val="22"/>
            <w:szCs w:val="22"/>
          </w:rPr>
          <w:t>Chicago</w:t>
        </w:r>
      </w:smartTag>
      <w:r w:rsidRPr="00267F6B">
        <w:rPr>
          <w:sz w:val="22"/>
          <w:szCs w:val="22"/>
        </w:rPr>
        <w:t xml:space="preserve">: </w:t>
      </w:r>
      <w:smartTag w:uri="urn:schemas-microsoft-com:office:smarttags" w:element="place">
        <w:smartTag w:uri="urn:schemas-microsoft-com:office:smarttags" w:element="PlaceType">
          <w:r w:rsidRPr="00267F6B">
            <w:rPr>
              <w:sz w:val="22"/>
              <w:szCs w:val="22"/>
            </w:rPr>
            <w:t>University</w:t>
          </w:r>
        </w:smartTag>
        <w:r w:rsidRPr="00267F6B">
          <w:rPr>
            <w:sz w:val="22"/>
            <w:szCs w:val="22"/>
          </w:rPr>
          <w:t xml:space="preserve"> of </w:t>
        </w:r>
        <w:smartTag w:uri="urn:schemas-microsoft-com:office:smarttags" w:element="PlaceName">
          <w:r w:rsidRPr="00267F6B">
            <w:rPr>
              <w:sz w:val="22"/>
              <w:szCs w:val="22"/>
            </w:rPr>
            <w:t>Chicago</w:t>
          </w:r>
        </w:smartTag>
      </w:smartTag>
      <w:r w:rsidRPr="00267F6B">
        <w:rPr>
          <w:sz w:val="22"/>
          <w:szCs w:val="22"/>
        </w:rPr>
        <w:t xml:space="preserve"> Press, 1996.</w:t>
      </w:r>
    </w:p>
    <w:p w:rsidR="00E35029" w:rsidRPr="00267F6B" w:rsidRDefault="00E35029" w:rsidP="00502E50">
      <w:pPr>
        <w:rPr>
          <w:sz w:val="22"/>
          <w:szCs w:val="22"/>
        </w:rPr>
      </w:pPr>
    </w:p>
    <w:p w:rsidR="004B3C1C" w:rsidRPr="00267F6B" w:rsidRDefault="004B3C1C" w:rsidP="00502E50">
      <w:pPr>
        <w:rPr>
          <w:sz w:val="22"/>
          <w:szCs w:val="22"/>
        </w:rPr>
      </w:pPr>
    </w:p>
    <w:p w:rsidR="00B85F14" w:rsidRPr="00267F6B" w:rsidRDefault="00B85F14" w:rsidP="00502E50">
      <w:pPr>
        <w:rPr>
          <w:sz w:val="22"/>
          <w:szCs w:val="22"/>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E27D5F" w:rsidRDefault="00E27D5F" w:rsidP="00652C50">
      <w:pPr>
        <w:rPr>
          <w:b/>
          <w:sz w:val="28"/>
          <w:szCs w:val="28"/>
        </w:rPr>
      </w:pPr>
    </w:p>
    <w:p w:rsidR="004B3C1C" w:rsidRPr="00267F6B" w:rsidRDefault="00542109" w:rsidP="00652C50">
      <w:pPr>
        <w:rPr>
          <w:b/>
          <w:sz w:val="28"/>
          <w:szCs w:val="28"/>
        </w:rPr>
      </w:pPr>
      <w:r w:rsidRPr="00267F6B">
        <w:rPr>
          <w:b/>
          <w:sz w:val="28"/>
          <w:szCs w:val="28"/>
        </w:rPr>
        <w:lastRenderedPageBreak/>
        <w:t>EVENTS</w:t>
      </w:r>
      <w:r w:rsidR="007E6587" w:rsidRPr="00267F6B">
        <w:rPr>
          <w:b/>
          <w:sz w:val="28"/>
          <w:szCs w:val="28"/>
        </w:rPr>
        <w:t xml:space="preserve"> </w:t>
      </w:r>
      <w:r w:rsidR="004B3C1C" w:rsidRPr="00267F6B">
        <w:rPr>
          <w:b/>
          <w:sz w:val="28"/>
          <w:szCs w:val="28"/>
        </w:rPr>
        <w:t>RESEARCH CHECKLIST</w:t>
      </w:r>
    </w:p>
    <w:p w:rsidR="00542109" w:rsidRPr="00267F6B" w:rsidRDefault="00D64C88" w:rsidP="00542109">
      <w:pPr>
        <w:rPr>
          <w:sz w:val="22"/>
          <w:szCs w:val="22"/>
        </w:rPr>
      </w:pPr>
      <w:r w:rsidRPr="00267F6B">
        <w:rPr>
          <w:sz w:val="22"/>
          <w:szCs w:val="22"/>
        </w:rPr>
        <w:t xml:space="preserve">Narrative histories submitted to the THC in support of marker applications for </w:t>
      </w:r>
      <w:r w:rsidRPr="00267F6B">
        <w:rPr>
          <w:b/>
          <w:bCs/>
          <w:sz w:val="22"/>
          <w:szCs w:val="22"/>
        </w:rPr>
        <w:t>historic events</w:t>
      </w:r>
      <w:r w:rsidRPr="00267F6B">
        <w:rPr>
          <w:sz w:val="22"/>
          <w:szCs w:val="22"/>
        </w:rPr>
        <w:t xml:space="preserve"> should include, but not necessarily be limited to, the following information.  </w:t>
      </w:r>
      <w:r w:rsidRPr="00267F6B">
        <w:rPr>
          <w:b/>
          <w:iCs/>
          <w:sz w:val="22"/>
          <w:szCs w:val="22"/>
        </w:rPr>
        <w:t>Note:</w:t>
      </w:r>
      <w:r w:rsidR="00542109" w:rsidRPr="00267F6B">
        <w:rPr>
          <w:iCs/>
          <w:sz w:val="22"/>
          <w:szCs w:val="22"/>
        </w:rPr>
        <w:t xml:space="preserve"> Historic events may be considered eligible for listing if they took place </w:t>
      </w:r>
      <w:r w:rsidR="003C744A" w:rsidRPr="00267F6B">
        <w:rPr>
          <w:iCs/>
          <w:sz w:val="22"/>
          <w:szCs w:val="22"/>
        </w:rPr>
        <w:t>more than</w:t>
      </w:r>
      <w:r w:rsidR="00542109" w:rsidRPr="00267F6B">
        <w:rPr>
          <w:iCs/>
          <w:sz w:val="22"/>
          <w:szCs w:val="22"/>
        </w:rPr>
        <w:t xml:space="preserve"> 30 years ago, if they are historically significant and if they have defini</w:t>
      </w:r>
      <w:r w:rsidR="003C744A" w:rsidRPr="00267F6B">
        <w:rPr>
          <w:iCs/>
          <w:sz w:val="22"/>
          <w:szCs w:val="22"/>
        </w:rPr>
        <w:t>te beginning and ending dates.</w:t>
      </w:r>
    </w:p>
    <w:p w:rsidR="00542109" w:rsidRPr="00267F6B" w:rsidRDefault="00542109" w:rsidP="00542109">
      <w:pPr>
        <w:pStyle w:val="Header"/>
        <w:tabs>
          <w:tab w:val="clear" w:pos="4320"/>
          <w:tab w:val="clear" w:pos="8640"/>
        </w:tabs>
        <w:rPr>
          <w:sz w:val="22"/>
          <w:szCs w:val="22"/>
        </w:rPr>
      </w:pPr>
    </w:p>
    <w:p w:rsidR="00542109" w:rsidRPr="00267F6B" w:rsidRDefault="00542109" w:rsidP="00542109">
      <w:pPr>
        <w:numPr>
          <w:ilvl w:val="0"/>
          <w:numId w:val="7"/>
        </w:numPr>
        <w:rPr>
          <w:sz w:val="22"/>
          <w:szCs w:val="22"/>
        </w:rPr>
      </w:pPr>
      <w:r w:rsidRPr="00267F6B">
        <w:rPr>
          <w:sz w:val="22"/>
          <w:szCs w:val="22"/>
        </w:rPr>
        <w:t>Background information on the causes of the event</w:t>
      </w:r>
    </w:p>
    <w:p w:rsidR="00542109" w:rsidRPr="00267F6B" w:rsidRDefault="00542109" w:rsidP="00542109">
      <w:pPr>
        <w:numPr>
          <w:ilvl w:val="0"/>
          <w:numId w:val="7"/>
        </w:numPr>
        <w:spacing w:before="120"/>
        <w:rPr>
          <w:sz w:val="22"/>
          <w:szCs w:val="22"/>
        </w:rPr>
      </w:pPr>
      <w:r w:rsidRPr="00267F6B">
        <w:rPr>
          <w:sz w:val="22"/>
          <w:szCs w:val="22"/>
        </w:rPr>
        <w:t>Beginning and ending dates</w:t>
      </w:r>
    </w:p>
    <w:p w:rsidR="00542109" w:rsidRPr="00267F6B" w:rsidRDefault="00542109" w:rsidP="00542109">
      <w:pPr>
        <w:numPr>
          <w:ilvl w:val="0"/>
          <w:numId w:val="7"/>
        </w:numPr>
        <w:spacing w:before="120"/>
        <w:rPr>
          <w:sz w:val="22"/>
          <w:szCs w:val="22"/>
        </w:rPr>
      </w:pPr>
      <w:r w:rsidRPr="00267F6B">
        <w:rPr>
          <w:sz w:val="22"/>
          <w:szCs w:val="22"/>
        </w:rPr>
        <w:t>Location of the event, with current site information</w:t>
      </w:r>
    </w:p>
    <w:p w:rsidR="00542109" w:rsidRPr="00267F6B" w:rsidRDefault="00542109" w:rsidP="00542109">
      <w:pPr>
        <w:numPr>
          <w:ilvl w:val="0"/>
          <w:numId w:val="7"/>
        </w:numPr>
        <w:spacing w:before="120"/>
        <w:rPr>
          <w:sz w:val="22"/>
          <w:szCs w:val="22"/>
        </w:rPr>
      </w:pPr>
      <w:r w:rsidRPr="00267F6B">
        <w:rPr>
          <w:sz w:val="22"/>
          <w:szCs w:val="22"/>
        </w:rPr>
        <w:t xml:space="preserve">Major participants, with relevant background information and vital dates (birth and death) </w:t>
      </w:r>
    </w:p>
    <w:p w:rsidR="00542109" w:rsidRPr="00267F6B" w:rsidRDefault="00542109" w:rsidP="00542109">
      <w:pPr>
        <w:numPr>
          <w:ilvl w:val="0"/>
          <w:numId w:val="7"/>
        </w:numPr>
        <w:spacing w:before="120"/>
        <w:rPr>
          <w:sz w:val="22"/>
          <w:szCs w:val="22"/>
        </w:rPr>
      </w:pPr>
      <w:r w:rsidRPr="00267F6B">
        <w:rPr>
          <w:sz w:val="22"/>
          <w:szCs w:val="22"/>
        </w:rPr>
        <w:t>Discussion of the immediate impact and the long-term effects of the event (local/state/national)</w:t>
      </w:r>
    </w:p>
    <w:p w:rsidR="00542109" w:rsidRPr="00267F6B" w:rsidRDefault="00542109" w:rsidP="00542109">
      <w:pPr>
        <w:numPr>
          <w:ilvl w:val="0"/>
          <w:numId w:val="7"/>
        </w:numPr>
        <w:spacing w:before="120"/>
        <w:rPr>
          <w:sz w:val="22"/>
          <w:szCs w:val="22"/>
        </w:rPr>
      </w:pPr>
      <w:r w:rsidRPr="00267F6B">
        <w:rPr>
          <w:sz w:val="22"/>
          <w:szCs w:val="22"/>
        </w:rPr>
        <w:t>Associations with organizations or institutions</w:t>
      </w:r>
    </w:p>
    <w:p w:rsidR="00542109" w:rsidRPr="00267F6B" w:rsidRDefault="00542109" w:rsidP="00542109">
      <w:pPr>
        <w:numPr>
          <w:ilvl w:val="0"/>
          <w:numId w:val="7"/>
        </w:numPr>
        <w:spacing w:before="120"/>
        <w:rPr>
          <w:sz w:val="22"/>
          <w:szCs w:val="22"/>
        </w:rPr>
      </w:pPr>
      <w:r w:rsidRPr="00267F6B">
        <w:rPr>
          <w:sz w:val="22"/>
          <w:szCs w:val="22"/>
        </w:rPr>
        <w:t>Remaining physical reminders (structures, inventions, memorials, etc.)</w:t>
      </w: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D623F8" w:rsidRDefault="00D623F8"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C76AE2">
      <w:pPr>
        <w:jc w:val="cente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rPr>
          <w:sz w:val="22"/>
          <w:szCs w:val="22"/>
        </w:rPr>
      </w:pPr>
    </w:p>
    <w:p w:rsidR="00E27D5F" w:rsidRDefault="00E27D5F" w:rsidP="00502E50">
      <w:pPr>
        <w:pBdr>
          <w:bottom w:val="single" w:sz="12" w:space="1" w:color="auto"/>
        </w:pBdr>
        <w:rPr>
          <w:sz w:val="22"/>
          <w:szCs w:val="22"/>
        </w:rPr>
      </w:pPr>
    </w:p>
    <w:p w:rsidR="00E27D5F" w:rsidRDefault="00E27D5F" w:rsidP="00502E50">
      <w:pPr>
        <w:rPr>
          <w:sz w:val="22"/>
          <w:szCs w:val="22"/>
        </w:rPr>
      </w:pPr>
    </w:p>
    <w:p w:rsidR="00E27D5F" w:rsidRPr="00267F6B" w:rsidRDefault="00E27D5F" w:rsidP="00502E50">
      <w:pPr>
        <w:rPr>
          <w:sz w:val="22"/>
          <w:szCs w:val="22"/>
        </w:rPr>
      </w:pPr>
      <w:r>
        <w:rPr>
          <w:noProof/>
        </w:rPr>
        <w:pict>
          <v:shape id="_x0000_s1039" type="#_x0000_t75" style="position:absolute;margin-left:261pt;margin-top:2.8pt;width:3in;height:81.75pt;z-index:251658752">
            <v:imagedata r:id="rId11" o:title="thc_logo"/>
            <w10:wrap type="square"/>
          </v:shape>
        </w:pict>
      </w:r>
      <w:r>
        <w:rPr>
          <w:noProof/>
          <w:sz w:val="22"/>
          <w:szCs w:val="22"/>
        </w:rPr>
        <w:pict>
          <v:shapetype id="_x0000_t202" coordsize="21600,21600" o:spt="202" path="m,l,21600r21600,l21600,xe">
            <v:stroke joinstyle="miter"/>
            <v:path gradientshapeok="t" o:connecttype="rect"/>
          </v:shapetype>
          <v:shape id="_x0000_s1038" type="#_x0000_t202" style="position:absolute;margin-left:0;margin-top:2.8pt;width:3in;height:1in;z-index:251657728" stroked="f">
            <v:textbox style="mso-next-textbox:#_x0000_s1038">
              <w:txbxContent>
                <w:p w:rsidR="00E27D5F" w:rsidRDefault="00E27D5F" w:rsidP="00E27D5F">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E27D5F" w:rsidRDefault="00E27D5F" w:rsidP="00E27D5F">
                  <w:pPr>
                    <w:rPr>
                      <w:sz w:val="22"/>
                    </w:rPr>
                  </w:pPr>
                  <w:smartTag w:uri="urn:schemas-microsoft-com:office:smarttags" w:element="PersonName">
                    <w:r>
                      <w:rPr>
                        <w:sz w:val="22"/>
                      </w:rPr>
                      <w:t>History</w:t>
                    </w:r>
                  </w:smartTag>
                  <w:r>
                    <w:rPr>
                      <w:sz w:val="22"/>
                    </w:rPr>
                    <w:t xml:space="preserve"> Programs Division</w:t>
                  </w:r>
                </w:p>
                <w:p w:rsidR="00E27D5F" w:rsidRDefault="00E27D5F" w:rsidP="00E27D5F">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E27D5F" w:rsidRDefault="00E27D5F" w:rsidP="00E27D5F">
                  <w:pPr>
                    <w:rPr>
                      <w:sz w:val="22"/>
                    </w:rPr>
                  </w:pPr>
                  <w:r>
                    <w:rPr>
                      <w:sz w:val="22"/>
                    </w:rPr>
                    <w:t>Phone 512/463-5853</w:t>
                  </w:r>
                </w:p>
                <w:p w:rsidR="00E27D5F" w:rsidRDefault="00E27D5F" w:rsidP="00E27D5F">
                  <w:pPr>
                    <w:rPr>
                      <w:sz w:val="22"/>
                    </w:rPr>
                  </w:pPr>
                  <w:r>
                    <w:rPr>
                      <w:sz w:val="22"/>
                    </w:rPr>
                    <w:t>history@thc.</w:t>
                  </w:r>
                  <w:r w:rsidR="00C76AE2">
                    <w:rPr>
                      <w:sz w:val="22"/>
                    </w:rPr>
                    <w:t>texas.gov</w:t>
                  </w:r>
                </w:p>
              </w:txbxContent>
            </v:textbox>
          </v:shape>
        </w:pict>
      </w: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D623F8" w:rsidRPr="00267F6B" w:rsidRDefault="00D623F8" w:rsidP="00502E50">
      <w:pPr>
        <w:rPr>
          <w:sz w:val="22"/>
          <w:szCs w:val="22"/>
        </w:rPr>
      </w:pPr>
    </w:p>
    <w:p w:rsidR="004066BE" w:rsidRPr="00267F6B" w:rsidRDefault="004066BE" w:rsidP="004066BE">
      <w:pPr>
        <w:rPr>
          <w:b/>
          <w:sz w:val="28"/>
          <w:szCs w:val="28"/>
        </w:rPr>
      </w:pPr>
      <w:r w:rsidRPr="00267F6B">
        <w:rPr>
          <w:b/>
          <w:sz w:val="28"/>
          <w:szCs w:val="28"/>
        </w:rPr>
        <w:lastRenderedPageBreak/>
        <w:t>SAMPLE HISTORY: Events</w:t>
      </w:r>
    </w:p>
    <w:p w:rsidR="004066BE" w:rsidRPr="00267F6B" w:rsidRDefault="004066BE" w:rsidP="004066BE">
      <w:pPr>
        <w:rPr>
          <w:sz w:val="22"/>
          <w:szCs w:val="22"/>
        </w:rPr>
      </w:pPr>
    </w:p>
    <w:p w:rsidR="004066BE" w:rsidRPr="00267F6B" w:rsidRDefault="004066BE" w:rsidP="004066BE">
      <w:pPr>
        <w:rPr>
          <w:sz w:val="22"/>
          <w:szCs w:val="22"/>
        </w:rPr>
      </w:pPr>
      <w:r w:rsidRPr="00267F6B">
        <w:rPr>
          <w:sz w:val="22"/>
          <w:szCs w:val="22"/>
        </w:rPr>
        <w:t>NOTE: This sample history, comprised of fictional information, represents in format, scope of content, documentation and length the type of narrative history required for a historical marker application. It is presented as a general guide for developing a narrative of a</w:t>
      </w:r>
      <w:r w:rsidR="00445C3F" w:rsidRPr="00267F6B">
        <w:rPr>
          <w:sz w:val="22"/>
          <w:szCs w:val="22"/>
        </w:rPr>
        <w:t xml:space="preserve"> historic event</w:t>
      </w:r>
      <w:r w:rsidRPr="00267F6B">
        <w:rPr>
          <w:sz w:val="22"/>
          <w:szCs w:val="22"/>
        </w:rPr>
        <w:t>.</w:t>
      </w:r>
    </w:p>
    <w:p w:rsidR="004066BE" w:rsidRPr="00267F6B" w:rsidRDefault="004066BE" w:rsidP="004066BE">
      <w:pPr>
        <w:rPr>
          <w:sz w:val="22"/>
          <w:szCs w:val="22"/>
        </w:rPr>
      </w:pPr>
    </w:p>
    <w:p w:rsidR="004066BE" w:rsidRPr="00267F6B" w:rsidRDefault="004066BE" w:rsidP="004066BE">
      <w:pPr>
        <w:jc w:val="center"/>
        <w:rPr>
          <w:b/>
        </w:rPr>
      </w:pPr>
      <w:r w:rsidRPr="00267F6B">
        <w:rPr>
          <w:b/>
        </w:rPr>
        <w:t xml:space="preserve">THE </w:t>
      </w:r>
      <w:smartTag w:uri="urn:schemas-microsoft-com:office:smarttags" w:element="place">
        <w:smartTag w:uri="urn:schemas-microsoft-com:office:smarttags" w:element="PlaceName">
          <w:r w:rsidRPr="00267F6B">
            <w:rPr>
              <w:b/>
            </w:rPr>
            <w:t>POST</w:t>
          </w:r>
        </w:smartTag>
        <w:r w:rsidRPr="00267F6B">
          <w:rPr>
            <w:b/>
          </w:rPr>
          <w:t xml:space="preserve"> </w:t>
        </w:r>
        <w:smartTag w:uri="urn:schemas-microsoft-com:office:smarttags" w:element="PlaceName">
          <w:r w:rsidRPr="00267F6B">
            <w:rPr>
              <w:b/>
            </w:rPr>
            <w:t>OAK</w:t>
          </w:r>
        </w:smartTag>
        <w:r w:rsidRPr="00267F6B">
          <w:rPr>
            <w:b/>
          </w:rPr>
          <w:t xml:space="preserve"> </w:t>
        </w:r>
        <w:smartTag w:uri="urn:schemas-microsoft-com:office:smarttags" w:element="PlaceType">
          <w:r w:rsidRPr="00267F6B">
            <w:rPr>
              <w:b/>
            </w:rPr>
            <w:t>COUNTY</w:t>
          </w:r>
        </w:smartTag>
      </w:smartTag>
      <w:r w:rsidRPr="00267F6B">
        <w:rPr>
          <w:b/>
        </w:rPr>
        <w:t xml:space="preserve"> SEAT ELECTION OF 1876</w:t>
      </w:r>
    </w:p>
    <w:p w:rsidR="004066BE" w:rsidRPr="00267F6B" w:rsidRDefault="004066BE" w:rsidP="004066BE"/>
    <w:p w:rsidR="004066BE" w:rsidRPr="00267F6B" w:rsidRDefault="004066BE" w:rsidP="002E4772">
      <w:pPr>
        <w:spacing w:line="480" w:lineRule="auto"/>
        <w:rPr>
          <w:b/>
        </w:rPr>
      </w:pPr>
      <w:r w:rsidRPr="00267F6B">
        <w:rPr>
          <w:b/>
        </w:rPr>
        <w:t>I.  CONTEXT</w:t>
      </w:r>
    </w:p>
    <w:p w:rsidR="004066BE" w:rsidRPr="00267F6B" w:rsidRDefault="00445C3F" w:rsidP="002E4772">
      <w:pPr>
        <w:spacing w:line="480" w:lineRule="auto"/>
        <w:ind w:firstLine="720"/>
      </w:pPr>
      <w:r w:rsidRPr="00267F6B">
        <w:t>Prior to the 1840s, nomadic Indian tr</w:t>
      </w:r>
      <w:r w:rsidR="00E24B86" w:rsidRPr="00267F6B">
        <w:t>ibes</w:t>
      </w:r>
      <w:r w:rsidR="00801129" w:rsidRPr="00267F6B">
        <w:t>,</w:t>
      </w:r>
      <w:r w:rsidR="00E24B86" w:rsidRPr="00267F6B">
        <w:t xml:space="preserve"> including Kiowas and Mescalero Apaches</w:t>
      </w:r>
      <w:r w:rsidR="00801129" w:rsidRPr="00267F6B">
        <w:t>,</w:t>
      </w:r>
      <w:r w:rsidR="00E24B86" w:rsidRPr="00267F6B">
        <w:t xml:space="preserve"> lived in what is now </w:t>
      </w:r>
      <w:smartTag w:uri="urn:schemas-microsoft-com:office:smarttags" w:element="place">
        <w:smartTag w:uri="urn:schemas-microsoft-com:office:smarttags" w:element="PlaceName">
          <w:r w:rsidR="00E24B86" w:rsidRPr="00267F6B">
            <w:t>Post</w:t>
          </w:r>
        </w:smartTag>
        <w:r w:rsidR="00E24B86" w:rsidRPr="00267F6B">
          <w:t xml:space="preserve"> </w:t>
        </w:r>
        <w:smartTag w:uri="urn:schemas-microsoft-com:office:smarttags" w:element="PlaceName">
          <w:r w:rsidR="00E24B86" w:rsidRPr="00267F6B">
            <w:t>Oak</w:t>
          </w:r>
        </w:smartTag>
        <w:r w:rsidR="00E24B86" w:rsidRPr="00267F6B">
          <w:t xml:space="preserve"> </w:t>
        </w:r>
        <w:smartTag w:uri="urn:schemas-microsoft-com:office:smarttags" w:element="PlaceType">
          <w:r w:rsidR="00E24B86" w:rsidRPr="00267F6B">
            <w:t>County</w:t>
          </w:r>
        </w:smartTag>
      </w:smartTag>
      <w:r w:rsidR="00E24B86" w:rsidRPr="00267F6B">
        <w:t>. Early Anglo homesteaders included buffalo</w:t>
      </w:r>
      <w:r w:rsidR="00801129" w:rsidRPr="00267F6B">
        <w:t xml:space="preserve"> hunter Archibald Kyle and </w:t>
      </w:r>
      <w:r w:rsidR="00E24B86" w:rsidRPr="00267F6B">
        <w:t xml:space="preserve">goat rancher Nelson Pope, with both arriving by 1849 in what was then part of </w:t>
      </w:r>
      <w:smartTag w:uri="urn:schemas-microsoft-com:office:smarttags" w:element="place">
        <w:smartTag w:uri="urn:schemas-microsoft-com:office:smarttags" w:element="PlaceName">
          <w:r w:rsidR="00E24B86" w:rsidRPr="00267F6B">
            <w:t>Milam</w:t>
          </w:r>
        </w:smartTag>
        <w:r w:rsidR="00E24B86" w:rsidRPr="00267F6B">
          <w:t xml:space="preserve"> </w:t>
        </w:r>
        <w:smartTag w:uri="urn:schemas-microsoft-com:office:smarttags" w:element="PlaceType">
          <w:r w:rsidR="00E24B86" w:rsidRPr="00267F6B">
            <w:t>County</w:t>
          </w:r>
        </w:smartTag>
      </w:smartTag>
      <w:r w:rsidR="00E24B86" w:rsidRPr="00267F6B">
        <w:t xml:space="preserve">. </w:t>
      </w:r>
      <w:r w:rsidRPr="00267F6B">
        <w:t>Permanent s</w:t>
      </w:r>
      <w:r w:rsidR="00E24B86" w:rsidRPr="00267F6B">
        <w:t xml:space="preserve">ettlement </w:t>
      </w:r>
      <w:r w:rsidRPr="00267F6B">
        <w:t xml:space="preserve">began in the 1850s with the establishment of </w:t>
      </w:r>
      <w:smartTag w:uri="urn:schemas-microsoft-com:office:smarttags" w:element="PlaceType">
        <w:r w:rsidR="00E24B86" w:rsidRPr="00267F6B">
          <w:t>Fort</w:t>
        </w:r>
      </w:smartTag>
      <w:r w:rsidR="00E24B86" w:rsidRPr="00267F6B">
        <w:t xml:space="preserve"> </w:t>
      </w:r>
      <w:smartTag w:uri="urn:schemas-microsoft-com:office:smarttags" w:element="PlaceName">
        <w:r w:rsidRPr="00267F6B">
          <w:t>Gompers</w:t>
        </w:r>
      </w:smartTag>
      <w:r w:rsidR="00E24B86" w:rsidRPr="00267F6B">
        <w:t xml:space="preserve">, a </w:t>
      </w:r>
      <w:r w:rsidR="00F246C2" w:rsidRPr="00267F6B">
        <w:t>small stockade</w:t>
      </w:r>
      <w:r w:rsidR="00E24B86" w:rsidRPr="00267F6B">
        <w:t xml:space="preserve"> to protect settlers against Native American raids, and later by the establishment of</w:t>
      </w:r>
      <w:r w:rsidRPr="00267F6B">
        <w:t xml:space="preserve"> </w:t>
      </w:r>
      <w:r w:rsidR="00F246C2" w:rsidRPr="00267F6B">
        <w:t xml:space="preserve">the </w:t>
      </w:r>
      <w:smartTag w:uri="urn:schemas-microsoft-com:office:smarttags" w:element="place">
        <w:smartTag w:uri="urn:schemas-microsoft-com:office:smarttags" w:element="PlaceType">
          <w:r w:rsidR="00F246C2" w:rsidRPr="00267F6B">
            <w:t>village</w:t>
          </w:r>
        </w:smartTag>
        <w:r w:rsidR="00F246C2" w:rsidRPr="00267F6B">
          <w:t xml:space="preserve"> of </w:t>
        </w:r>
        <w:smartTag w:uri="urn:schemas-microsoft-com:office:smarttags" w:element="PlaceName">
          <w:r w:rsidRPr="00267F6B">
            <w:t>Youngstown</w:t>
          </w:r>
        </w:smartTag>
      </w:smartTag>
      <w:r w:rsidRPr="00267F6B">
        <w:t>.</w:t>
      </w:r>
      <w:r w:rsidR="00F246C2" w:rsidRPr="00267F6B">
        <w:t xml:space="preserve"> The area was attached to </w:t>
      </w:r>
      <w:smartTag w:uri="urn:schemas-microsoft-com:office:smarttags" w:element="place">
        <w:smartTag w:uri="urn:schemas-microsoft-com:office:smarttags" w:element="PlaceName">
          <w:r w:rsidR="00F246C2" w:rsidRPr="00267F6B">
            <w:t>Simpson</w:t>
          </w:r>
        </w:smartTag>
        <w:r w:rsidR="00E24B86" w:rsidRPr="00267F6B">
          <w:t xml:space="preserve"> </w:t>
        </w:r>
        <w:smartTag w:uri="urn:schemas-microsoft-com:office:smarttags" w:element="PlaceType">
          <w:r w:rsidR="00E24B86" w:rsidRPr="00267F6B">
            <w:t>County</w:t>
          </w:r>
        </w:smartTag>
      </w:smartTag>
      <w:r w:rsidR="00E24B86" w:rsidRPr="00267F6B">
        <w:t xml:space="preserve"> for judicial purposes in 1858</w:t>
      </w:r>
      <w:r w:rsidR="004066BE" w:rsidRPr="00267F6B">
        <w:t>.</w:t>
      </w:r>
      <w:r w:rsidR="004066BE" w:rsidRPr="00267F6B">
        <w:rPr>
          <w:vertAlign w:val="superscript"/>
        </w:rPr>
        <w:t xml:space="preserve"> 1</w:t>
      </w:r>
    </w:p>
    <w:p w:rsidR="00F246C2" w:rsidRPr="00267F6B" w:rsidRDefault="002303BB" w:rsidP="002E4772">
      <w:pPr>
        <w:spacing w:line="480" w:lineRule="auto"/>
        <w:ind w:firstLine="720"/>
      </w:pPr>
      <w:r w:rsidRPr="00267F6B">
        <w:t xml:space="preserve">The </w:t>
      </w:r>
      <w:smartTag w:uri="urn:schemas-microsoft-com:office:smarttags" w:element="State">
        <w:r w:rsidRPr="00267F6B">
          <w:t>Texas</w:t>
        </w:r>
      </w:smartTag>
      <w:r w:rsidRPr="00267F6B">
        <w:t xml:space="preserve"> and Northern Railroad built across </w:t>
      </w:r>
      <w:r w:rsidR="001A3755" w:rsidRPr="00267F6B">
        <w:t xml:space="preserve">the future </w:t>
      </w:r>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r w:rsidRPr="00267F6B">
        <w:t xml:space="preserve"> in the fall of 1875, and the </w:t>
      </w:r>
      <w:smartTag w:uri="urn:schemas-microsoft-com:office:smarttags" w:element="State">
        <w:smartTag w:uri="urn:schemas-microsoft-com:office:smarttags" w:element="place">
          <w:r w:rsidRPr="00267F6B">
            <w:t>New York</w:t>
          </w:r>
        </w:smartTag>
      </w:smartTag>
      <w:r w:rsidRPr="00267F6B">
        <w:t xml:space="preserve"> and Texas Land Company established the towns of Jergenson and Whitley. At </w:t>
      </w:r>
      <w:r w:rsidR="00F537F1" w:rsidRPr="00267F6B">
        <w:t xml:space="preserve">about </w:t>
      </w:r>
      <w:r w:rsidRPr="00267F6B">
        <w:t>the same time, land speculator John E. Brinkley bought several th</w:t>
      </w:r>
      <w:r w:rsidR="00801129" w:rsidRPr="00267F6B">
        <w:t>ousand acres south of Jergenson,</w:t>
      </w:r>
      <w:r w:rsidRPr="00267F6B">
        <w:t xml:space="preserve"> in the center of what would become </w:t>
      </w:r>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r w:rsidRPr="00267F6B">
        <w:t xml:space="preserve">, and there he platted the town of </w:t>
      </w:r>
      <w:smartTag w:uri="urn:schemas-microsoft-com:office:smarttags" w:element="City">
        <w:smartTag w:uri="urn:schemas-microsoft-com:office:smarttags" w:element="place">
          <w:r w:rsidRPr="00267F6B">
            <w:t>Smackdab</w:t>
          </w:r>
        </w:smartTag>
      </w:smartTag>
      <w:r w:rsidRPr="00267F6B">
        <w:t xml:space="preserve">. The stage was therefore set for a fierce competition to secure the county seat, and by the end </w:t>
      </w:r>
      <w:r w:rsidR="00F537F1" w:rsidRPr="00267F6B">
        <w:t>of 1876 the Texas Rangers, the governor and the l</w:t>
      </w:r>
      <w:r w:rsidRPr="00267F6B">
        <w:t xml:space="preserve">egislature would all be involved in the determination of the seat of </w:t>
      </w:r>
      <w:smartTag w:uri="urn:schemas-microsoft-com:office:smarttags" w:element="place">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smartTag>
      <w:r w:rsidRPr="00267F6B">
        <w:t>.</w:t>
      </w:r>
    </w:p>
    <w:p w:rsidR="004066BE" w:rsidRPr="00267F6B" w:rsidRDefault="004066BE" w:rsidP="002E4772">
      <w:pPr>
        <w:spacing w:line="480" w:lineRule="auto"/>
      </w:pPr>
    </w:p>
    <w:p w:rsidR="004066BE" w:rsidRPr="00267F6B" w:rsidRDefault="004066BE" w:rsidP="002E4772">
      <w:pPr>
        <w:spacing w:line="480" w:lineRule="auto"/>
        <w:rPr>
          <w:b/>
        </w:rPr>
      </w:pPr>
      <w:r w:rsidRPr="00267F6B">
        <w:rPr>
          <w:b/>
        </w:rPr>
        <w:t>II. OVERVIEW</w:t>
      </w:r>
    </w:p>
    <w:p w:rsidR="001A3755" w:rsidRPr="00267F6B" w:rsidRDefault="001A3755" w:rsidP="002E4772">
      <w:pPr>
        <w:spacing w:line="480" w:lineRule="auto"/>
      </w:pPr>
      <w:r w:rsidRPr="00267F6B">
        <w:rPr>
          <w:b/>
        </w:rPr>
        <w:tab/>
      </w:r>
      <w:r w:rsidRPr="00267F6B">
        <w:t xml:space="preserve">The arrival of the </w:t>
      </w:r>
      <w:smartTag w:uri="urn:schemas-microsoft-com:office:smarttags" w:element="State">
        <w:r w:rsidRPr="00267F6B">
          <w:t>Texas</w:t>
        </w:r>
      </w:smartTag>
      <w:r w:rsidRPr="00267F6B">
        <w:t xml:space="preserve"> and Northern Railroad to what would become </w:t>
      </w:r>
      <w:smartTag w:uri="urn:schemas-microsoft-com:office:smarttags" w:element="place">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smartTag>
      <w:r w:rsidRPr="00267F6B">
        <w:t xml:space="preserve"> in late 1875 brought an influx of new arrivals, including settlers, businessmen,</w:t>
      </w:r>
      <w:r w:rsidR="00801129" w:rsidRPr="00267F6B">
        <w:t xml:space="preserve"> land speculators</w:t>
      </w:r>
      <w:r w:rsidRPr="00267F6B">
        <w:t xml:space="preserve"> and many others. </w:t>
      </w:r>
      <w:r w:rsidR="00F87DE5" w:rsidRPr="00267F6B">
        <w:t>Tom H</w:t>
      </w:r>
      <w:r w:rsidR="00F268AF" w:rsidRPr="00267F6B">
        <w:t>uxtable</w:t>
      </w:r>
      <w:r w:rsidR="008A3584" w:rsidRPr="00267F6B">
        <w:t xml:space="preserve"> (June 11, 1843-June 11, 1876)</w:t>
      </w:r>
      <w:r w:rsidR="00F87DE5" w:rsidRPr="00267F6B">
        <w:t xml:space="preserve">, noted buffalo hunter, moved </w:t>
      </w:r>
      <w:r w:rsidR="00F87DE5" w:rsidRPr="00267F6B">
        <w:lastRenderedPageBreak/>
        <w:t>from his settlement at Buffalo Gap to near the new townsite of Jergenson in January 1876</w:t>
      </w:r>
      <w:r w:rsidR="003C1D84" w:rsidRPr="00267F6B">
        <w:t>.</w:t>
      </w:r>
      <w:r w:rsidR="003C1D84" w:rsidRPr="00267F6B">
        <w:rPr>
          <w:vertAlign w:val="superscript"/>
        </w:rPr>
        <w:t>2</w:t>
      </w:r>
      <w:r w:rsidR="00F87DE5" w:rsidRPr="00267F6B">
        <w:t xml:space="preserve"> </w:t>
      </w:r>
      <w:r w:rsidR="006C055D" w:rsidRPr="00267F6B">
        <w:t>H</w:t>
      </w:r>
      <w:r w:rsidR="00F268AF" w:rsidRPr="00267F6B">
        <w:t>uxtable</w:t>
      </w:r>
      <w:r w:rsidR="006C055D" w:rsidRPr="00267F6B">
        <w:t>’s settlement included a small dugout dwelling and a postal stop on the Butterfield Overland Stage route from Fort Worth to El Paso</w:t>
      </w:r>
      <w:r w:rsidR="00080F6F" w:rsidRPr="00267F6B">
        <w:t>, as well as a large general store that supplied area settlers</w:t>
      </w:r>
      <w:r w:rsidR="006C055D" w:rsidRPr="00267F6B">
        <w:t xml:space="preserve">. </w:t>
      </w:r>
      <w:r w:rsidR="00080F6F" w:rsidRPr="00267F6B">
        <w:t xml:space="preserve">By April, </w:t>
      </w:r>
      <w:smartTag w:uri="urn:schemas-microsoft-com:office:smarttags" w:element="City">
        <w:r w:rsidR="00080F6F" w:rsidRPr="00267F6B">
          <w:t>Henderson</w:t>
        </w:r>
      </w:smartTag>
      <w:r w:rsidR="00080F6F" w:rsidRPr="00267F6B">
        <w:t xml:space="preserve"> moved his store to the growing town of </w:t>
      </w:r>
      <w:smartTag w:uri="urn:schemas-microsoft-com:office:smarttags" w:element="City">
        <w:smartTag w:uri="urn:schemas-microsoft-com:office:smarttags" w:element="place">
          <w:r w:rsidR="00080F6F" w:rsidRPr="00267F6B">
            <w:t>Jergenson</w:t>
          </w:r>
        </w:smartTag>
      </w:smartTag>
      <w:r w:rsidR="00080F6F" w:rsidRPr="00267F6B">
        <w:t>.</w:t>
      </w:r>
      <w:r w:rsidR="003C1D84" w:rsidRPr="00267F6B">
        <w:rPr>
          <w:vertAlign w:val="superscript"/>
        </w:rPr>
        <w:t xml:space="preserve"> 3</w:t>
      </w:r>
    </w:p>
    <w:p w:rsidR="003D05C8" w:rsidRPr="00267F6B" w:rsidRDefault="003D05C8" w:rsidP="002E4772">
      <w:pPr>
        <w:spacing w:line="480" w:lineRule="auto"/>
      </w:pPr>
      <w:r w:rsidRPr="00267F6B">
        <w:tab/>
        <w:t>Meanwhile, John E. Brinkley (May 3, 1847-December 30, 1906), who had previously established the towns of Indianola, Belle Plaine, and Rayner, purchased 5,283 acres from rancher Stanley J. Hollingsworth on November 23, 1875. Two weeks later, Brinkley recorded a plat for the proposed town of Smackdab, complete with f</w:t>
      </w:r>
      <w:r w:rsidR="00F537F1" w:rsidRPr="00267F6B">
        <w:t>our city parks</w:t>
      </w:r>
      <w:r w:rsidR="0072799F">
        <w:t xml:space="preserve"> – one </w:t>
      </w:r>
      <w:r w:rsidR="00F537F1" w:rsidRPr="00267F6B">
        <w:t>in each quadrant</w:t>
      </w:r>
      <w:r w:rsidR="0072799F">
        <w:t xml:space="preserve"> – a</w:t>
      </w:r>
      <w:r w:rsidR="00F537F1" w:rsidRPr="00267F6B">
        <w:t>nd</w:t>
      </w:r>
      <w:r w:rsidRPr="00267F6B">
        <w:t xml:space="preserve"> four major boulevards, with Broadway and Grand running north-south and Main and Pecan running east-west, all intersecting at the center of </w:t>
      </w:r>
      <w:r w:rsidR="00F268AF" w:rsidRPr="00267F6B">
        <w:t>to</w:t>
      </w:r>
      <w:r w:rsidR="003C1D84" w:rsidRPr="00267F6B">
        <w:t>wn at a large central square.</w:t>
      </w:r>
      <w:r w:rsidR="003C1D84" w:rsidRPr="00267F6B">
        <w:rPr>
          <w:vertAlign w:val="superscript"/>
        </w:rPr>
        <w:t xml:space="preserve"> 4</w:t>
      </w:r>
    </w:p>
    <w:p w:rsidR="00F268AF" w:rsidRPr="00267F6B" w:rsidRDefault="00F268AF" w:rsidP="002E4772">
      <w:pPr>
        <w:spacing w:line="480" w:lineRule="auto"/>
      </w:pPr>
      <w:r w:rsidRPr="00267F6B">
        <w:tab/>
        <w:t xml:space="preserve">By March 1876, </w:t>
      </w:r>
      <w:r w:rsidR="00F537F1" w:rsidRPr="00267F6B">
        <w:t>a number of</w:t>
      </w:r>
      <w:r w:rsidR="00DA02B7" w:rsidRPr="00267F6B">
        <w:t xml:space="preserve"> new settlers </w:t>
      </w:r>
      <w:r w:rsidRPr="00267F6B">
        <w:t xml:space="preserve">moved beyond the rim in extreme western </w:t>
      </w:r>
      <w:smartTag w:uri="urn:schemas-microsoft-com:office:smarttags" w:element="place">
        <w:smartTag w:uri="urn:schemas-microsoft-com:office:smarttags" w:element="PlaceName">
          <w:r w:rsidRPr="00267F6B">
            <w:t>Milam</w:t>
          </w:r>
        </w:smartTag>
        <w:r w:rsidRPr="00267F6B">
          <w:t xml:space="preserve"> </w:t>
        </w:r>
        <w:smartTag w:uri="urn:schemas-microsoft-com:office:smarttags" w:element="PlaceType">
          <w:r w:rsidRPr="00267F6B">
            <w:t>County</w:t>
          </w:r>
        </w:smartTag>
      </w:smartTag>
      <w:r w:rsidR="00F537F1" w:rsidRPr="00267F6B">
        <w:t>.  They</w:t>
      </w:r>
      <w:r w:rsidRPr="00267F6B">
        <w:t xml:space="preserve"> petitioned the Texas Legislature for the creation of a new county, rather than having to return more than sixty miles east to conduct their business in the town of </w:t>
      </w:r>
      <w:smartTag w:uri="urn:schemas-microsoft-com:office:smarttags" w:element="City">
        <w:smartTag w:uri="urn:schemas-microsoft-com:office:smarttags" w:element="place">
          <w:r w:rsidRPr="00267F6B">
            <w:t>Flanders</w:t>
          </w:r>
        </w:smartTag>
      </w:smartTag>
      <w:r w:rsidRPr="00267F6B">
        <w:t>. Chester J. Horn</w:t>
      </w:r>
      <w:r w:rsidR="004F055C" w:rsidRPr="00267F6B">
        <w:t>s</w:t>
      </w:r>
      <w:r w:rsidRPr="00267F6B">
        <w:t xml:space="preserve">waggle, Timothy Eanes Wilson, Matthew R. Timpson, and Alexander Kleb were the four men who canvassed the area for signatures for the proposed new county. Three of the petitions had the proposed name of </w:t>
      </w:r>
      <w:smartTag w:uri="urn:schemas-microsoft-com:office:smarttags" w:element="place">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smartTag>
      <w:r w:rsidRPr="00267F6B">
        <w:t xml:space="preserve"> on the top, but the fourth one was to be named for early settler Tom Huxtable. Legend ha</w:t>
      </w:r>
      <w:r w:rsidR="00DA02B7" w:rsidRPr="00267F6B">
        <w:t>s it that some of the signature lists</w:t>
      </w:r>
      <w:r w:rsidRPr="00267F6B">
        <w:t>, in order to reach the required number of 150, included the names of horses and itinerant cowboys. Subsequent research confirms that at least ten of the names cannot be verified through other documentation, including the names Pokey McDougal, Left</w:t>
      </w:r>
      <w:r w:rsidR="00DA02B7" w:rsidRPr="00267F6B">
        <w:t>y Leinart, and Stubborn</w:t>
      </w:r>
      <w:r w:rsidR="003C1D84" w:rsidRPr="00267F6B">
        <w:t xml:space="preserve"> Leak.</w:t>
      </w:r>
      <w:r w:rsidR="003C1D84" w:rsidRPr="00267F6B">
        <w:rPr>
          <w:vertAlign w:val="superscript"/>
        </w:rPr>
        <w:t xml:space="preserve"> 5</w:t>
      </w:r>
    </w:p>
    <w:p w:rsidR="00F268AF" w:rsidRPr="00267F6B" w:rsidRDefault="00F268AF" w:rsidP="002E4772">
      <w:pPr>
        <w:spacing w:line="480" w:lineRule="auto"/>
      </w:pPr>
      <w:r w:rsidRPr="00267F6B">
        <w:tab/>
      </w:r>
      <w:r w:rsidR="004F055C" w:rsidRPr="00267F6B">
        <w:t xml:space="preserve">On March 30, 1876, the Texas Legislature approved the creation of the new county, naming it Post Oak and ordering Hornswaggle, Wilson, Timpson and Kleb </w:t>
      </w:r>
      <w:r w:rsidR="00803DD9" w:rsidRPr="00267F6B">
        <w:t xml:space="preserve">to hold an election of all eligible voters before the end of April to establish the first commissioners, county judge, </w:t>
      </w:r>
      <w:r w:rsidR="00803DD9" w:rsidRPr="00267F6B">
        <w:lastRenderedPageBreak/>
        <w:t>county clerk, county treasurer, sheriff, and most importantly, the site of the county seat.</w:t>
      </w:r>
      <w:r w:rsidR="00F537F1" w:rsidRPr="00267F6B">
        <w:t xml:space="preserve"> The election of April 18, 1876</w:t>
      </w:r>
      <w:r w:rsidR="0072799F">
        <w:t>,</w:t>
      </w:r>
      <w:r w:rsidR="00803DD9" w:rsidRPr="00267F6B">
        <w:t xml:space="preserve"> started a firestorm of controversy that culminated in the d</w:t>
      </w:r>
      <w:r w:rsidR="00CE01B6" w:rsidRPr="00267F6B">
        <w:t>eath of nine</w:t>
      </w:r>
      <w:r w:rsidR="00803DD9" w:rsidRPr="00267F6B">
        <w:t xml:space="preserve"> pioneer citizens and </w:t>
      </w:r>
      <w:r w:rsidR="00F537F1" w:rsidRPr="00267F6B">
        <w:t xml:space="preserve">the legislature imposing </w:t>
      </w:r>
      <w:r w:rsidR="00DA02B7" w:rsidRPr="00267F6B">
        <w:t>martial law i</w:t>
      </w:r>
      <w:r w:rsidR="00803DD9" w:rsidRPr="00267F6B">
        <w:t xml:space="preserve">n </w:t>
      </w:r>
      <w:smartTag w:uri="urn:schemas-microsoft-com:office:smarttags" w:element="place">
        <w:smartTag w:uri="urn:schemas-microsoft-com:office:smarttags" w:element="PlaceName">
          <w:r w:rsidR="00803DD9" w:rsidRPr="00267F6B">
            <w:t>Post</w:t>
          </w:r>
        </w:smartTag>
        <w:r w:rsidR="00803DD9" w:rsidRPr="00267F6B">
          <w:t xml:space="preserve"> </w:t>
        </w:r>
        <w:smartTag w:uri="urn:schemas-microsoft-com:office:smarttags" w:element="PlaceName">
          <w:r w:rsidR="00803DD9" w:rsidRPr="00267F6B">
            <w:t>Oak</w:t>
          </w:r>
        </w:smartTag>
        <w:r w:rsidR="00803DD9" w:rsidRPr="00267F6B">
          <w:t xml:space="preserve"> </w:t>
        </w:r>
        <w:smartTag w:uri="urn:schemas-microsoft-com:office:smarttags" w:element="PlaceType">
          <w:r w:rsidR="00803DD9" w:rsidRPr="00267F6B">
            <w:t>County</w:t>
          </w:r>
        </w:smartTag>
      </w:smartTag>
      <w:r w:rsidR="00803DD9" w:rsidRPr="00267F6B">
        <w:t>.</w:t>
      </w:r>
      <w:r w:rsidR="003C1D84" w:rsidRPr="00267F6B">
        <w:rPr>
          <w:vertAlign w:val="superscript"/>
        </w:rPr>
        <w:t xml:space="preserve"> 6</w:t>
      </w:r>
    </w:p>
    <w:p w:rsidR="00751FF1" w:rsidRPr="00267F6B" w:rsidRDefault="00751FF1" w:rsidP="002E4772">
      <w:pPr>
        <w:spacing w:line="480" w:lineRule="auto"/>
      </w:pPr>
      <w:r w:rsidRPr="00267F6B">
        <w:tab/>
        <w:t>The prob</w:t>
      </w:r>
      <w:r w:rsidR="00DA02B7" w:rsidRPr="00267F6B">
        <w:t xml:space="preserve">lems began when the </w:t>
      </w:r>
      <w:r w:rsidRPr="00267F6B">
        <w:t>committee</w:t>
      </w:r>
      <w:r w:rsidR="00DA02B7" w:rsidRPr="00267F6B">
        <w:t xml:space="preserve"> canvassed the votes</w:t>
      </w:r>
      <w:r w:rsidRPr="00267F6B">
        <w:t>. Eve</w:t>
      </w:r>
      <w:r w:rsidR="00DA02B7" w:rsidRPr="00267F6B">
        <w:t>n though 152 signatures were</w:t>
      </w:r>
      <w:r w:rsidRPr="00267F6B">
        <w:t xml:space="preserve"> collected for the county’s creation in March, more than 1,100 votes were counted for the organization election in April. </w:t>
      </w:r>
      <w:r w:rsidR="002606B8" w:rsidRPr="00267F6B">
        <w:t xml:space="preserve">Judge Thomas C. Beaufort of neighboring </w:t>
      </w:r>
      <w:smartTag w:uri="urn:schemas-microsoft-com:office:smarttags" w:element="place">
        <w:smartTag w:uri="urn:schemas-microsoft-com:office:smarttags" w:element="PlaceName">
          <w:r w:rsidR="002606B8" w:rsidRPr="00267F6B">
            <w:t>Smedley</w:t>
          </w:r>
        </w:smartTag>
        <w:r w:rsidR="002606B8" w:rsidRPr="00267F6B">
          <w:t xml:space="preserve"> </w:t>
        </w:r>
        <w:smartTag w:uri="urn:schemas-microsoft-com:office:smarttags" w:element="PlaceType">
          <w:r w:rsidR="002606B8" w:rsidRPr="00267F6B">
            <w:t>County</w:t>
          </w:r>
        </w:smartTag>
      </w:smartTag>
      <w:r w:rsidR="002606B8" w:rsidRPr="00267F6B">
        <w:t xml:space="preserve"> threw out the first election results, which had Jergenson winning the county seat, and ordered a new election to be held on May 2, 1876. Early that morning, </w:t>
      </w:r>
      <w:r w:rsidR="00DA02B7" w:rsidRPr="00267F6B">
        <w:t xml:space="preserve">a fire destroyed </w:t>
      </w:r>
      <w:r w:rsidR="002606B8" w:rsidRPr="00267F6B">
        <w:t xml:space="preserve">the bridge across </w:t>
      </w:r>
      <w:smartTag w:uri="urn:schemas-microsoft-com:office:smarttags" w:element="place">
        <w:smartTag w:uri="urn:schemas-microsoft-com:office:smarttags" w:element="PlaceName">
          <w:r w:rsidR="002606B8" w:rsidRPr="00267F6B">
            <w:t>Wilson</w:t>
          </w:r>
        </w:smartTag>
        <w:r w:rsidR="002606B8" w:rsidRPr="00267F6B">
          <w:t xml:space="preserve"> </w:t>
        </w:r>
        <w:smartTag w:uri="urn:schemas-microsoft-com:office:smarttags" w:element="PlaceName">
          <w:r w:rsidR="00DA02B7" w:rsidRPr="00267F6B">
            <w:t>Creek</w:t>
          </w:r>
        </w:smartTag>
      </w:smartTag>
      <w:r w:rsidR="002606B8" w:rsidRPr="00267F6B">
        <w:t xml:space="preserve">, keeping a sizeable number of </w:t>
      </w:r>
      <w:r w:rsidR="00DA02B7" w:rsidRPr="00267F6B">
        <w:t xml:space="preserve">Gable’s Gap voters </w:t>
      </w:r>
      <w:r w:rsidR="002606B8" w:rsidRPr="00267F6B">
        <w:t>from reaching the J</w:t>
      </w:r>
      <w:r w:rsidR="00DA02B7" w:rsidRPr="00267F6B">
        <w:t>ergenson townsite to vote. A</w:t>
      </w:r>
      <w:r w:rsidR="002606B8" w:rsidRPr="00267F6B">
        <w:t>s a result, Smackdab took the second el</w:t>
      </w:r>
      <w:r w:rsidR="00484BEA" w:rsidRPr="00267F6B">
        <w:t>ection for county seat, 83 to 80.</w:t>
      </w:r>
      <w:r w:rsidR="00484BEA" w:rsidRPr="00267F6B">
        <w:rPr>
          <w:vertAlign w:val="superscript"/>
        </w:rPr>
        <w:t xml:space="preserve"> 7</w:t>
      </w:r>
      <w:r w:rsidR="00484BEA" w:rsidRPr="00267F6B">
        <w:t xml:space="preserve"> </w:t>
      </w:r>
    </w:p>
    <w:p w:rsidR="00765A99" w:rsidRPr="00267F6B" w:rsidRDefault="00A544C8" w:rsidP="002E4772">
      <w:pPr>
        <w:spacing w:line="480" w:lineRule="auto"/>
      </w:pPr>
      <w:r w:rsidRPr="00267F6B">
        <w:tab/>
      </w:r>
      <w:r w:rsidR="0072799F">
        <w:t xml:space="preserve">Brinkley partnered with Belmont Lumber Company to provide the first fifty residences in Smackdab, and he </w:t>
      </w:r>
      <w:r w:rsidR="004E1B0D" w:rsidRPr="00267F6B">
        <w:t>scheduled May 30, 1876</w:t>
      </w:r>
      <w:r w:rsidR="0072799F">
        <w:t>,</w:t>
      </w:r>
      <w:r w:rsidR="004E1B0D" w:rsidRPr="00267F6B">
        <w:t xml:space="preserve"> as the day to draw lots for </w:t>
      </w:r>
      <w:r w:rsidR="0072799F">
        <w:t xml:space="preserve">commercial </w:t>
      </w:r>
      <w:r w:rsidR="004E1B0D" w:rsidRPr="00267F6B">
        <w:t>building</w:t>
      </w:r>
      <w:r w:rsidR="0072799F">
        <w:t>s</w:t>
      </w:r>
      <w:r w:rsidR="004E1B0D" w:rsidRPr="00267F6B">
        <w:t xml:space="preserve"> and residence sites in hi</w:t>
      </w:r>
      <w:r w:rsidR="0072799F">
        <w:t>s newly platted town</w:t>
      </w:r>
      <w:r w:rsidR="004E1B0D" w:rsidRPr="00267F6B">
        <w:t xml:space="preserve">. </w:t>
      </w:r>
      <w:r w:rsidR="002959F0" w:rsidRPr="00267F6B">
        <w:t xml:space="preserve">All seemed to go without a hitch, but over five nights in the following week, each new property owner in Smackdab was systematically terrorized and harassed, often in the middle </w:t>
      </w:r>
      <w:r w:rsidR="00F537F1" w:rsidRPr="00267F6B">
        <w:t>of the night in their new homes.</w:t>
      </w:r>
      <w:r w:rsidR="002959F0" w:rsidRPr="00267F6B">
        <w:t xml:space="preserve"> </w:t>
      </w:r>
      <w:r w:rsidR="00F537F1" w:rsidRPr="00267F6B">
        <w:t xml:space="preserve"> Many had</w:t>
      </w:r>
      <w:r w:rsidR="002959F0" w:rsidRPr="00267F6B">
        <w:t xml:space="preserve"> their newly built wooden business houses burned to th</w:t>
      </w:r>
      <w:r w:rsidR="00765A99" w:rsidRPr="00267F6B">
        <w:t>e ground by unknown assailants.</w:t>
      </w:r>
      <w:r w:rsidR="00484BEA" w:rsidRPr="00267F6B">
        <w:rPr>
          <w:vertAlign w:val="superscript"/>
        </w:rPr>
        <w:t xml:space="preserve"> 8</w:t>
      </w:r>
    </w:p>
    <w:p w:rsidR="00765A99" w:rsidRPr="00267F6B" w:rsidRDefault="00765A99" w:rsidP="002E4772">
      <w:pPr>
        <w:spacing w:line="480" w:lineRule="auto"/>
      </w:pPr>
      <w:r w:rsidRPr="00267F6B">
        <w:tab/>
        <w:t>Retribution came to Jergenson with tragic results</w:t>
      </w:r>
      <w:r w:rsidR="0001752E" w:rsidRPr="00267F6B">
        <w:t xml:space="preserve"> on an unseasonably hot day</w:t>
      </w:r>
      <w:r w:rsidRPr="00267F6B">
        <w:t>. On the afternoon of June 6, 1876, James T. Honeycutt, a business associate of Brinkley</w:t>
      </w:r>
      <w:r w:rsidR="00DA02B7" w:rsidRPr="00267F6B">
        <w:t xml:space="preserve"> and a major investor in</w:t>
      </w:r>
      <w:r w:rsidRPr="00267F6B">
        <w:t xml:space="preserve"> Smackdab</w:t>
      </w:r>
      <w:r w:rsidR="00DA02B7" w:rsidRPr="00267F6B">
        <w:t xml:space="preserve"> property</w:t>
      </w:r>
      <w:r w:rsidRPr="00267F6B">
        <w:t>, rode his horse into Jergenson, intending to confront Wesley Adamson, the</w:t>
      </w:r>
      <w:r w:rsidR="00DA02B7" w:rsidRPr="00267F6B">
        <w:t xml:space="preserve"> manager of Huxtable’s 5H Ranch</w:t>
      </w:r>
      <w:r w:rsidRPr="00267F6B">
        <w:t xml:space="preserve"> and the man Honeycutt suspected of arranging </w:t>
      </w:r>
      <w:r w:rsidR="00F537F1" w:rsidRPr="00267F6B">
        <w:t>the recent violence in Smackdab</w:t>
      </w:r>
      <w:r w:rsidRPr="00267F6B">
        <w:t xml:space="preserve"> in an attempt to wrest the county seat back to Jergenson.</w:t>
      </w:r>
      <w:r w:rsidR="00484BEA" w:rsidRPr="00267F6B">
        <w:t xml:space="preserve"> </w:t>
      </w:r>
      <w:r w:rsidRPr="00267F6B">
        <w:t xml:space="preserve">At precisely 1:15 p.m., Honeycutt emerged from the alley next to the Black Cat Saloon, having </w:t>
      </w:r>
      <w:r w:rsidR="006E2EA6">
        <w:lastRenderedPageBreak/>
        <w:t>spotted Adam</w:t>
      </w:r>
      <w:r w:rsidRPr="00267F6B">
        <w:t xml:space="preserve">son leaving that establishment. The two men quarreled loudly </w:t>
      </w:r>
      <w:r w:rsidR="006E2EA6">
        <w:t>for several minutes before Adam</w:t>
      </w:r>
      <w:r w:rsidRPr="00267F6B">
        <w:t xml:space="preserve">son </w:t>
      </w:r>
      <w:r w:rsidR="00AA550C" w:rsidRPr="00267F6B">
        <w:t>turned his back and unhitched his horse</w:t>
      </w:r>
      <w:r w:rsidR="00F537F1" w:rsidRPr="00267F6B">
        <w:t>,</w:t>
      </w:r>
      <w:r w:rsidR="00AA550C" w:rsidRPr="00267F6B">
        <w:t xml:space="preserve"> intending to leave before </w:t>
      </w:r>
      <w:r w:rsidR="00F537F1" w:rsidRPr="00267F6B">
        <w:t>the fight</w:t>
      </w:r>
      <w:r w:rsidR="00AA550C" w:rsidRPr="00267F6B">
        <w:t xml:space="preserve"> escala</w:t>
      </w:r>
      <w:r w:rsidR="006E2EA6">
        <w:t>ted. But Honeycutt grabbed Adam</w:t>
      </w:r>
      <w:r w:rsidR="00AA550C" w:rsidRPr="00267F6B">
        <w:t xml:space="preserve">son by the shoulder and threw him against the porch post, and then </w:t>
      </w:r>
      <w:r w:rsidR="006E2EA6">
        <w:t xml:space="preserve">Honeycutt </w:t>
      </w:r>
      <w:r w:rsidR="00AA550C" w:rsidRPr="00267F6B">
        <w:t xml:space="preserve">unsnapped his </w:t>
      </w:r>
      <w:r w:rsidR="006E2EA6">
        <w:t xml:space="preserve">gun </w:t>
      </w:r>
      <w:r w:rsidR="00AA550C" w:rsidRPr="00267F6B">
        <w:t xml:space="preserve">holster. </w:t>
      </w:r>
      <w:r w:rsidR="00CE4D31" w:rsidRPr="00267F6B">
        <w:t>Honeycutt shot Adamson first in the shoulder, and Adamson was able to draw his pistol and shoot Honeycutt three times before Hone</w:t>
      </w:r>
      <w:r w:rsidR="006E2EA6">
        <w:t>ycutt hit Adam</w:t>
      </w:r>
      <w:r w:rsidR="00CE4D31" w:rsidRPr="00267F6B">
        <w:t>son again, leaving both men mortally wounded. One of the stray bullets also hit the clock in front of J. Peterson’s jewel</w:t>
      </w:r>
      <w:r w:rsidR="004D2A43" w:rsidRPr="00267F6B">
        <w:t>ry store, memorializing the exact moment</w:t>
      </w:r>
      <w:r w:rsidR="00CE4D31" w:rsidRPr="00267F6B">
        <w:t xml:space="preserve"> of the affray for all time. Most tragically, another bullet ricocheted and struck Mrs. Elizabeth Tisdale, the wife of the Presbyterian minister</w:t>
      </w:r>
      <w:r w:rsidR="004D2A43" w:rsidRPr="00267F6B">
        <w:t>, the</w:t>
      </w:r>
      <w:r w:rsidR="00CE4D31" w:rsidRPr="00267F6B">
        <w:t xml:space="preserve"> Rev. John Tisdale. Mrs. Tisdale died almost instantly, and her death sparked a violent outpouring between the Huxtable and Brinkley camps.</w:t>
      </w:r>
      <w:r w:rsidR="00484BEA" w:rsidRPr="00267F6B">
        <w:rPr>
          <w:vertAlign w:val="superscript"/>
        </w:rPr>
        <w:t xml:space="preserve"> 9</w:t>
      </w:r>
    </w:p>
    <w:p w:rsidR="00484BEA" w:rsidRPr="00267F6B" w:rsidRDefault="00CE4D31" w:rsidP="002E4772">
      <w:pPr>
        <w:spacing w:line="480" w:lineRule="auto"/>
        <w:rPr>
          <w:vertAlign w:val="superscript"/>
        </w:rPr>
      </w:pPr>
      <w:r w:rsidRPr="00267F6B">
        <w:tab/>
        <w:t xml:space="preserve">For the next two weeks, violent ambushes occurred with frightening regularity, and nearly every business house in both towns was destroyed by fire. </w:t>
      </w:r>
      <w:r w:rsidR="00CE01B6" w:rsidRPr="00267F6B">
        <w:t>Six</w:t>
      </w:r>
      <w:r w:rsidR="00025047" w:rsidRPr="00267F6B">
        <w:t xml:space="preserve"> more people w</w:t>
      </w:r>
      <w:r w:rsidR="00CE01B6" w:rsidRPr="00267F6B">
        <w:t>ere killed during that time, thre</w:t>
      </w:r>
      <w:r w:rsidR="00025047" w:rsidRPr="00267F6B">
        <w:t>e from each side of the Huxtable and Brinkley quarrel.</w:t>
      </w:r>
      <w:r w:rsidR="008A3584" w:rsidRPr="00267F6B">
        <w:t xml:space="preserve"> </w:t>
      </w:r>
      <w:r w:rsidR="00F537F1" w:rsidRPr="00267F6B">
        <w:t xml:space="preserve">Gregory Williams, Joseph G. Helms, Warren H. Toliver, Samuel G. Mickelson and R.Y. Mason were among those killed during the two weeks.  </w:t>
      </w:r>
      <w:r w:rsidR="008A3584" w:rsidRPr="00267F6B">
        <w:t>Huxta</w:t>
      </w:r>
      <w:r w:rsidR="006E2EA6">
        <w:t>ble himself was killed on his 33rd</w:t>
      </w:r>
      <w:r w:rsidR="008A3584" w:rsidRPr="00267F6B">
        <w:t xml:space="preserve"> birthday when he was ambushed </w:t>
      </w:r>
      <w:r w:rsidR="00E33D0D" w:rsidRPr="00267F6B">
        <w:t>riding home alone late on the night of June 11th</w:t>
      </w:r>
      <w:r w:rsidR="008A3584" w:rsidRPr="00267F6B">
        <w:t xml:space="preserve">. </w:t>
      </w:r>
      <w:r w:rsidRPr="00267F6B">
        <w:t>When word o</w:t>
      </w:r>
      <w:r w:rsidR="004D2A43" w:rsidRPr="00267F6B">
        <w:t>f the civil strife reached the s</w:t>
      </w:r>
      <w:r w:rsidRPr="00267F6B">
        <w:t>t</w:t>
      </w:r>
      <w:r w:rsidR="004D2A43" w:rsidRPr="00267F6B">
        <w:t>ate l</w:t>
      </w:r>
      <w:r w:rsidRPr="00267F6B">
        <w:t xml:space="preserve">egislature, Governor </w:t>
      </w:r>
      <w:r w:rsidR="00EC24E3" w:rsidRPr="00267F6B">
        <w:t>Richard Coke</w:t>
      </w:r>
      <w:r w:rsidR="004D2A43" w:rsidRPr="00267F6B">
        <w:t>r</w:t>
      </w:r>
      <w:r w:rsidR="00EC24E3" w:rsidRPr="00267F6B">
        <w:t xml:space="preserve"> instructed the Texas Rangers t</w:t>
      </w:r>
      <w:r w:rsidR="004D2A43" w:rsidRPr="00267F6B">
        <w:t>o dispatch their forces at once</w:t>
      </w:r>
      <w:r w:rsidR="00EC24E3" w:rsidRPr="00267F6B">
        <w:t xml:space="preserve"> under the command of Captain Jack Thompson. At the same time, the Texas Legislature, meeting in an emergency session, </w:t>
      </w:r>
      <w:r w:rsidR="00650E6C" w:rsidRPr="00267F6B">
        <w:t xml:space="preserve">declared </w:t>
      </w:r>
      <w:smartTag w:uri="urn:schemas-microsoft-com:office:smarttags" w:element="place">
        <w:smartTag w:uri="urn:schemas-microsoft-com:office:smarttags" w:element="PlaceName">
          <w:r w:rsidR="00650E6C" w:rsidRPr="00267F6B">
            <w:t>Post</w:t>
          </w:r>
        </w:smartTag>
        <w:r w:rsidR="00650E6C" w:rsidRPr="00267F6B">
          <w:t xml:space="preserve"> </w:t>
        </w:r>
        <w:smartTag w:uri="urn:schemas-microsoft-com:office:smarttags" w:element="PlaceName">
          <w:r w:rsidR="00650E6C" w:rsidRPr="00267F6B">
            <w:t>Oak</w:t>
          </w:r>
        </w:smartTag>
        <w:r w:rsidR="00650E6C" w:rsidRPr="00267F6B">
          <w:t xml:space="preserve"> </w:t>
        </w:r>
        <w:smartTag w:uri="urn:schemas-microsoft-com:office:smarttags" w:element="PlaceType">
          <w:r w:rsidR="00650E6C" w:rsidRPr="00267F6B">
            <w:t>County</w:t>
          </w:r>
        </w:smartTag>
      </w:smartTag>
      <w:r w:rsidR="00650E6C" w:rsidRPr="00267F6B">
        <w:t xml:space="preserve"> to be under martial law, and </w:t>
      </w:r>
      <w:r w:rsidR="00F537F1" w:rsidRPr="00267F6B">
        <w:t>declared</w:t>
      </w:r>
      <w:r w:rsidR="00650E6C" w:rsidRPr="00267F6B">
        <w:t xml:space="preserve"> all prior elections, filing of deeds, and other legal proceedings since its inception to be null and void.</w:t>
      </w:r>
      <w:r w:rsidR="00025047" w:rsidRPr="00267F6B">
        <w:t xml:space="preserve"> After the</w:t>
      </w:r>
      <w:r w:rsidR="00F537F1" w:rsidRPr="00267F6B">
        <w:t xml:space="preserve"> Texas Rangers</w:t>
      </w:r>
      <w:r w:rsidR="00025047" w:rsidRPr="00267F6B">
        <w:t xml:space="preserve"> </w:t>
      </w:r>
      <w:r w:rsidR="00F537F1" w:rsidRPr="00267F6B">
        <w:t xml:space="preserve">quelled the </w:t>
      </w:r>
      <w:r w:rsidR="00025047" w:rsidRPr="00267F6B">
        <w:t>violence, the Texas Legislature voted unanimously to award the county seat to Jergenson, while Smackdab retained the county jail and other minor county offices.</w:t>
      </w:r>
      <w:r w:rsidR="00484BEA" w:rsidRPr="00267F6B">
        <w:rPr>
          <w:vertAlign w:val="superscript"/>
        </w:rPr>
        <w:t xml:space="preserve"> 10</w:t>
      </w:r>
    </w:p>
    <w:p w:rsidR="0046178B" w:rsidRPr="00267F6B" w:rsidRDefault="002047C1" w:rsidP="002E4772">
      <w:pPr>
        <w:spacing w:line="480" w:lineRule="auto"/>
      </w:pPr>
      <w:r w:rsidRPr="00267F6B">
        <w:lastRenderedPageBreak/>
        <w:tab/>
        <w:t xml:space="preserve">Jergenson thrived as county seat in the decades that followed. The </w:t>
      </w:r>
      <w:smartTag w:uri="urn:schemas-microsoft-com:office:smarttags" w:element="place">
        <w:smartTag w:uri="urn:schemas-microsoft-com:office:smarttags" w:element="State">
          <w:r w:rsidRPr="00267F6B">
            <w:t>Texas</w:t>
          </w:r>
        </w:smartTag>
      </w:smartTag>
      <w:r w:rsidRPr="00267F6B">
        <w:t xml:space="preserve"> and Northern Railroad connection made Jergenson a viable commercial center even in the hardest of economic downturns. Construction of </w:t>
      </w:r>
      <w:smartTag w:uri="urn:schemas-microsoft-com:office:smarttags" w:element="Street">
        <w:smartTag w:uri="urn:schemas-microsoft-com:office:smarttags" w:element="address">
          <w:r w:rsidRPr="00267F6B">
            <w:t>U.S. Highway</w:t>
          </w:r>
        </w:smartTag>
      </w:smartTag>
      <w:r w:rsidRPr="00267F6B">
        <w:t xml:space="preserve"> 1</w:t>
      </w:r>
      <w:r w:rsidR="004D2A43" w:rsidRPr="00267F6B">
        <w:t>1</w:t>
      </w:r>
      <w:r w:rsidRPr="00267F6B">
        <w:t xml:space="preserve">90 in the late 1920s connected Jergenson with neighboring county seats and offered a fast road to </w:t>
      </w:r>
      <w:smartTag w:uri="urn:schemas-microsoft-com:office:smarttags" w:element="City">
        <w:r w:rsidRPr="00267F6B">
          <w:t>Fort Worth</w:t>
        </w:r>
      </w:smartTag>
      <w:r w:rsidRPr="00267F6B">
        <w:t xml:space="preserve"> and </w:t>
      </w:r>
      <w:smartTag w:uri="urn:schemas-microsoft-com:office:smarttags" w:element="City">
        <w:smartTag w:uri="urn:schemas-microsoft-com:office:smarttags" w:element="place">
          <w:r w:rsidRPr="00267F6B">
            <w:t>Abilene</w:t>
          </w:r>
        </w:smartTag>
      </w:smartTag>
      <w:r w:rsidRPr="00267F6B">
        <w:t>. The establishment of Languid Army Air Field during World War II solidified Jergenson’s position as the largest city in the county.</w:t>
      </w:r>
      <w:r w:rsidR="006E2EA6">
        <w:t xml:space="preserve"> As the seat of county government, Jergenson currently has eleven banks, while Smackdab has only two.</w:t>
      </w:r>
    </w:p>
    <w:p w:rsidR="002047C1" w:rsidRPr="00267F6B" w:rsidRDefault="002047C1" w:rsidP="002E4772">
      <w:pPr>
        <w:spacing w:line="480" w:lineRule="auto"/>
      </w:pPr>
      <w:r w:rsidRPr="00267F6B">
        <w:tab/>
        <w:t xml:space="preserve">Meanwhile, Smackdab has consistently come in second in many competitions with Jergenson. Smackdab came in second in the voting for the establishment of </w:t>
      </w:r>
      <w:smartTag w:uri="urn:schemas-microsoft-com:office:smarttags" w:element="PlaceName">
        <w:r w:rsidRPr="00267F6B">
          <w:t>Middle</w:t>
        </w:r>
      </w:smartTag>
      <w:r w:rsidRPr="00267F6B">
        <w:t xml:space="preserve"> </w:t>
      </w:r>
      <w:smartTag w:uri="urn:schemas-microsoft-com:office:smarttags" w:element="PlaceName">
        <w:r w:rsidRPr="00267F6B">
          <w:t>Texas</w:t>
        </w:r>
      </w:smartTag>
      <w:r w:rsidRPr="00267F6B">
        <w:t xml:space="preserve"> </w:t>
      </w:r>
      <w:smartTag w:uri="urn:schemas-microsoft-com:office:smarttags" w:element="PlaceType">
        <w:r w:rsidRPr="00267F6B">
          <w:t>College</w:t>
        </w:r>
      </w:smartTag>
      <w:r w:rsidRPr="00267F6B">
        <w:t xml:space="preserve"> in the 18</w:t>
      </w:r>
      <w:r w:rsidR="004D2A43" w:rsidRPr="00267F6B">
        <w:t>90s and remained outside</w:t>
      </w:r>
      <w:r w:rsidRPr="00267F6B">
        <w:t xml:space="preserve"> the surveyed route of </w:t>
      </w:r>
      <w:smartTag w:uri="urn:schemas-microsoft-com:office:smarttags" w:element="country-region">
        <w:smartTag w:uri="urn:schemas-microsoft-com:office:smarttags" w:element="place">
          <w:r w:rsidRPr="00267F6B">
            <w:t>U.S.</w:t>
          </w:r>
        </w:smartTag>
      </w:smartTag>
      <w:r w:rsidRPr="00267F6B">
        <w:t xml:space="preserve"> 1</w:t>
      </w:r>
      <w:r w:rsidR="006E2EA6">
        <w:t>1</w:t>
      </w:r>
      <w:r w:rsidRPr="00267F6B">
        <w:t xml:space="preserve">90. The city of </w:t>
      </w:r>
      <w:smartTag w:uri="urn:schemas-microsoft-com:office:smarttags" w:element="City">
        <w:smartTag w:uri="urn:schemas-microsoft-com:office:smarttags" w:element="place">
          <w:r w:rsidRPr="00267F6B">
            <w:t>Smackdab</w:t>
          </w:r>
        </w:smartTag>
      </w:smartTag>
      <w:r w:rsidRPr="00267F6B">
        <w:t xml:space="preserve"> retains the layout of its original grand design, including the major boulevards, parks and other public spaces, but the central square that was intended to house the county seat remains vacant to this day, a constant reminder of the events of 1876. The rivalry between Smackdab and Jerge</w:t>
      </w:r>
      <w:r w:rsidR="004D2A43" w:rsidRPr="00267F6B">
        <w:t>nson is still heated</w:t>
      </w:r>
      <w:r w:rsidRPr="00267F6B">
        <w:t xml:space="preserve"> and is perhaps most visible in the annual </w:t>
      </w:r>
      <w:r w:rsidR="006E2EA6">
        <w:t>high school f</w:t>
      </w:r>
      <w:r w:rsidRPr="00267F6B">
        <w:t>ootball game, with the all-time standings since 1891 currently at 54 wins each and 8 ties.</w:t>
      </w:r>
    </w:p>
    <w:p w:rsidR="004066BE" w:rsidRPr="00267F6B" w:rsidRDefault="004066BE" w:rsidP="002E4772">
      <w:pPr>
        <w:spacing w:line="480" w:lineRule="auto"/>
        <w:ind w:firstLine="720"/>
      </w:pPr>
    </w:p>
    <w:p w:rsidR="004066BE" w:rsidRPr="00267F6B" w:rsidRDefault="004066BE" w:rsidP="002E4772">
      <w:pPr>
        <w:spacing w:line="480" w:lineRule="auto"/>
        <w:rPr>
          <w:b/>
        </w:rPr>
      </w:pPr>
      <w:r w:rsidRPr="00267F6B">
        <w:rPr>
          <w:b/>
        </w:rPr>
        <w:t>III. SIGNIFICANCE</w:t>
      </w:r>
    </w:p>
    <w:p w:rsidR="004066BE" w:rsidRDefault="002C18AF" w:rsidP="002E4772">
      <w:pPr>
        <w:spacing w:line="480" w:lineRule="auto"/>
      </w:pPr>
      <w:r w:rsidRPr="00267F6B">
        <w:rPr>
          <w:b/>
        </w:rPr>
        <w:tab/>
      </w:r>
      <w:r w:rsidRPr="00267F6B">
        <w:t>The controversial event</w:t>
      </w:r>
      <w:r w:rsidR="004D2A43" w:rsidRPr="00267F6B">
        <w:t xml:space="preserve">s associated with the </w:t>
      </w:r>
      <w:smartTag w:uri="urn:schemas-microsoft-com:office:smarttags" w:element="PlaceName">
        <w:r w:rsidR="004D2A43" w:rsidRPr="00267F6B">
          <w:t>Post</w:t>
        </w:r>
      </w:smartTag>
      <w:r w:rsidR="004D2A43" w:rsidRPr="00267F6B">
        <w:t xml:space="preserve"> </w:t>
      </w:r>
      <w:smartTag w:uri="urn:schemas-microsoft-com:office:smarttags" w:element="PlaceName">
        <w:r w:rsidR="004D2A43" w:rsidRPr="00267F6B">
          <w:t>Oak</w:t>
        </w:r>
      </w:smartTag>
      <w:r w:rsidR="004D2A43" w:rsidRPr="00267F6B">
        <w:t xml:space="preserve"> </w:t>
      </w:r>
      <w:smartTag w:uri="urn:schemas-microsoft-com:office:smarttags" w:element="PlaceType">
        <w:r w:rsidR="004D2A43" w:rsidRPr="00267F6B">
          <w:t>C</w:t>
        </w:r>
        <w:r w:rsidRPr="00267F6B">
          <w:t>ounty</w:t>
        </w:r>
      </w:smartTag>
      <w:r w:rsidRPr="00267F6B">
        <w:t xml:space="preserve"> seat election of 1876 are indicative of other similar developments </w:t>
      </w:r>
      <w:r w:rsidR="006E2EA6">
        <w:t xml:space="preserve">in </w:t>
      </w:r>
      <w:smartTag w:uri="urn:schemas-microsoft-com:office:smarttags" w:element="place">
        <w:smartTag w:uri="urn:schemas-microsoft-com:office:smarttags" w:element="State">
          <w:r w:rsidR="006E2EA6">
            <w:t>Texas</w:t>
          </w:r>
        </w:smartTag>
      </w:smartTag>
      <w:r w:rsidR="006E2EA6">
        <w:t xml:space="preserve"> counties in the late 19th</w:t>
      </w:r>
      <w:r w:rsidRPr="00267F6B">
        <w:t xml:space="preserve"> century. </w:t>
      </w:r>
      <w:r w:rsidR="00021FF4">
        <w:t xml:space="preserve">Selection as a county seat proved crucial in the viability of many early settlements, and in several counties the county seat was moved many times as flooding, poor agricultural land, new rail and road connections, population shifts and other factors made new parcels of land more attractive to county government. </w:t>
      </w:r>
      <w:r w:rsidRPr="00267F6B">
        <w:t xml:space="preserve">Although the </w:t>
      </w:r>
      <w:smartTag w:uri="urn:schemas-microsoft-com:office:smarttags" w:element="place">
        <w:smartTag w:uri="urn:schemas-microsoft-com:office:smarttags" w:element="PlaceName">
          <w:r w:rsidRPr="00267F6B">
            <w:t>Post</w:t>
          </w:r>
        </w:smartTag>
        <w:r w:rsidRPr="00267F6B">
          <w:t xml:space="preserve"> </w:t>
        </w:r>
        <w:smartTag w:uri="urn:schemas-microsoft-com:office:smarttags" w:element="PlaceName">
          <w:r w:rsidRPr="00267F6B">
            <w:t>Oak</w:t>
          </w:r>
        </w:smartTag>
        <w:r w:rsidRPr="00267F6B">
          <w:t xml:space="preserve"> </w:t>
        </w:r>
        <w:smartTag w:uri="urn:schemas-microsoft-com:office:smarttags" w:element="PlaceType">
          <w:r w:rsidRPr="00267F6B">
            <w:t>County</w:t>
          </w:r>
        </w:smartTag>
      </w:smartTag>
      <w:r w:rsidRPr="00267F6B">
        <w:t xml:space="preserve"> ex</w:t>
      </w:r>
      <w:r w:rsidR="004D2A43" w:rsidRPr="00267F6B">
        <w:t>ample is perhaps the most celebrated</w:t>
      </w:r>
      <w:r w:rsidRPr="00267F6B">
        <w:t xml:space="preserve"> and </w:t>
      </w:r>
      <w:r w:rsidR="000A08BB" w:rsidRPr="00267F6B">
        <w:lastRenderedPageBreak/>
        <w:t>bloody</w:t>
      </w:r>
      <w:r w:rsidRPr="00267F6B">
        <w:t xml:space="preserve">, several other counties experienced similar periods of controversy and </w:t>
      </w:r>
      <w:r w:rsidR="000A08BB" w:rsidRPr="00267F6B">
        <w:t>violence</w:t>
      </w:r>
      <w:r w:rsidRPr="00267F6B">
        <w:t xml:space="preserve"> in their developing years. The final choice for county seat, imposed by the state legislature, set Jergenson on a course for greater economic success than its rival city, and to this day, the fateful decisions of 1876 continue to play a part in the development of the county.</w:t>
      </w:r>
    </w:p>
    <w:p w:rsidR="00021FF4" w:rsidRPr="00267F6B" w:rsidRDefault="00021FF4" w:rsidP="002E4772">
      <w:pPr>
        <w:spacing w:line="480" w:lineRule="auto"/>
      </w:pPr>
    </w:p>
    <w:p w:rsidR="004066BE" w:rsidRPr="00267F6B" w:rsidRDefault="004066BE" w:rsidP="004066BE">
      <w:pPr>
        <w:spacing w:line="360" w:lineRule="auto"/>
        <w:rPr>
          <w:b/>
        </w:rPr>
      </w:pPr>
      <w:r w:rsidRPr="00267F6B">
        <w:rPr>
          <w:b/>
        </w:rPr>
        <w:t>VI. DOCUMENTATION</w:t>
      </w:r>
    </w:p>
    <w:p w:rsidR="004066BE" w:rsidRPr="00267F6B" w:rsidRDefault="004066BE" w:rsidP="004066BE">
      <w:r w:rsidRPr="00267F6B">
        <w:rPr>
          <w:vertAlign w:val="superscript"/>
        </w:rPr>
        <w:t xml:space="preserve">1 </w:t>
      </w:r>
      <w:r w:rsidRPr="00267F6B">
        <w:t xml:space="preserve">Prater, Elihu. </w:t>
      </w:r>
      <w:r w:rsidRPr="00267F6B">
        <w:rPr>
          <w:i/>
        </w:rPr>
        <w:t xml:space="preserve">Beyond the Rim: A </w:t>
      </w:r>
      <w:smartTag w:uri="urn:schemas-microsoft-com:office:smarttags" w:element="PersonName">
        <w:r w:rsidRPr="00267F6B">
          <w:rPr>
            <w:i/>
          </w:rPr>
          <w:t>History</w:t>
        </w:r>
      </w:smartTag>
      <w:r w:rsidRPr="00267F6B">
        <w:rPr>
          <w:i/>
        </w:rPr>
        <w:t xml:space="preserve"> of Early </w:t>
      </w:r>
      <w:smartTag w:uri="urn:schemas-microsoft-com:office:smarttags" w:element="place">
        <w:smartTag w:uri="urn:schemas-microsoft-com:office:smarttags" w:element="PlaceName">
          <w:r w:rsidRPr="00267F6B">
            <w:rPr>
              <w:i/>
            </w:rPr>
            <w:t>Post</w:t>
          </w:r>
        </w:smartTag>
        <w:r w:rsidRPr="00267F6B">
          <w:rPr>
            <w:i/>
          </w:rPr>
          <w:t xml:space="preserve"> </w:t>
        </w:r>
        <w:smartTag w:uri="urn:schemas-microsoft-com:office:smarttags" w:element="PlaceName">
          <w:r w:rsidRPr="00267F6B">
            <w:rPr>
              <w:i/>
            </w:rPr>
            <w:t>Oak</w:t>
          </w:r>
        </w:smartTag>
        <w:r w:rsidRPr="00267F6B">
          <w:rPr>
            <w:i/>
          </w:rPr>
          <w:t xml:space="preserve"> </w:t>
        </w:r>
        <w:smartTag w:uri="urn:schemas-microsoft-com:office:smarttags" w:element="PlaceType">
          <w:r w:rsidRPr="00267F6B">
            <w:rPr>
              <w:i/>
            </w:rPr>
            <w:t>County</w:t>
          </w:r>
        </w:smartTag>
      </w:smartTag>
      <w:r w:rsidR="004D2A43" w:rsidRPr="00267F6B">
        <w:t xml:space="preserve"> (</w:t>
      </w:r>
      <w:r w:rsidR="00E24B86" w:rsidRPr="00267F6B">
        <w:t>Jergenson</w:t>
      </w:r>
      <w:r w:rsidRPr="00267F6B">
        <w:t>: Post Oak County His</w:t>
      </w:r>
      <w:r w:rsidR="00E24B86" w:rsidRPr="00267F6B">
        <w:t>torical Commission, 19</w:t>
      </w:r>
      <w:r w:rsidR="004D2A43" w:rsidRPr="00267F6B">
        <w:t xml:space="preserve">78), </w:t>
      </w:r>
      <w:r w:rsidR="00E24B86" w:rsidRPr="00267F6B">
        <w:t xml:space="preserve">p. </w:t>
      </w:r>
      <w:r w:rsidR="002C18AF" w:rsidRPr="00267F6B">
        <w:t>13</w:t>
      </w:r>
      <w:r w:rsidRPr="00267F6B">
        <w:t>.</w:t>
      </w:r>
    </w:p>
    <w:p w:rsidR="004066BE" w:rsidRPr="00267F6B" w:rsidRDefault="004066BE" w:rsidP="004066BE"/>
    <w:p w:rsidR="004066BE" w:rsidRPr="00267F6B" w:rsidRDefault="004066BE" w:rsidP="004066BE">
      <w:r w:rsidRPr="00267F6B">
        <w:rPr>
          <w:vertAlign w:val="superscript"/>
        </w:rPr>
        <w:t xml:space="preserve">2 </w:t>
      </w:r>
      <w:r w:rsidRPr="00267F6B">
        <w:t xml:space="preserve">Prater, p. </w:t>
      </w:r>
      <w:r w:rsidR="003C1D84" w:rsidRPr="00267F6B">
        <w:t>7</w:t>
      </w:r>
      <w:r w:rsidRPr="00267F6B">
        <w:t>7</w:t>
      </w:r>
      <w:r w:rsidR="003C1D84" w:rsidRPr="00267F6B">
        <w:t>.</w:t>
      </w:r>
    </w:p>
    <w:p w:rsidR="004066BE" w:rsidRPr="00267F6B" w:rsidRDefault="004066BE" w:rsidP="004066BE"/>
    <w:p w:rsidR="004066BE" w:rsidRPr="00267F6B" w:rsidRDefault="004066BE" w:rsidP="004066BE">
      <w:r w:rsidRPr="00267F6B">
        <w:rPr>
          <w:vertAlign w:val="superscript"/>
        </w:rPr>
        <w:t xml:space="preserve">3 </w:t>
      </w:r>
      <w:r w:rsidR="003C1D84" w:rsidRPr="00267F6B">
        <w:t xml:space="preserve">Prater, p. </w:t>
      </w:r>
      <w:r w:rsidRPr="00267F6B">
        <w:t>78.</w:t>
      </w:r>
    </w:p>
    <w:p w:rsidR="004066BE" w:rsidRPr="00267F6B" w:rsidRDefault="004066BE" w:rsidP="004066BE"/>
    <w:p w:rsidR="004066BE" w:rsidRPr="00267F6B" w:rsidRDefault="004066BE" w:rsidP="004066BE">
      <w:r w:rsidRPr="00267F6B">
        <w:rPr>
          <w:vertAlign w:val="superscript"/>
        </w:rPr>
        <w:t xml:space="preserve">4 </w:t>
      </w:r>
      <w:r w:rsidR="003C1D84" w:rsidRPr="00267F6B">
        <w:t>Deed records: V. 61, p. 15, Office of the Post Oak County Clerk, Post Oak County Courthouse, Jergenson.</w:t>
      </w:r>
    </w:p>
    <w:p w:rsidR="004066BE" w:rsidRPr="00267F6B" w:rsidRDefault="004066BE" w:rsidP="004066BE">
      <w:pPr>
        <w:rPr>
          <w:vertAlign w:val="superscript"/>
        </w:rPr>
      </w:pPr>
    </w:p>
    <w:p w:rsidR="004066BE" w:rsidRPr="00267F6B" w:rsidRDefault="004066BE" w:rsidP="004066BE">
      <w:r w:rsidRPr="00267F6B">
        <w:rPr>
          <w:vertAlign w:val="superscript"/>
        </w:rPr>
        <w:t xml:space="preserve">5 </w:t>
      </w:r>
      <w:smartTag w:uri="urn:schemas-microsoft-com:office:smarttags" w:element="place">
        <w:smartTag w:uri="urn:schemas-microsoft-com:office:smarttags" w:element="State">
          <w:r w:rsidR="003C1D84" w:rsidRPr="00267F6B">
            <w:t>Texas</w:t>
          </w:r>
        </w:smartTag>
      </w:smartTag>
      <w:r w:rsidR="003C1D84" w:rsidRPr="00267F6B">
        <w:t xml:space="preserve"> Regist</w:t>
      </w:r>
      <w:r w:rsidR="00484BEA" w:rsidRPr="00267F6B">
        <w:t>ry of Legislative Actions</w:t>
      </w:r>
      <w:r w:rsidR="003C1D84" w:rsidRPr="00267F6B">
        <w:t>, March 30, 1876; Prater, p</w:t>
      </w:r>
      <w:r w:rsidR="00484BEA" w:rsidRPr="00267F6B">
        <w:t>p</w:t>
      </w:r>
      <w:r w:rsidR="003C1D84" w:rsidRPr="00267F6B">
        <w:t>. 111-115.</w:t>
      </w:r>
    </w:p>
    <w:p w:rsidR="004066BE" w:rsidRPr="00267F6B" w:rsidRDefault="004066BE" w:rsidP="004066BE"/>
    <w:p w:rsidR="004066BE" w:rsidRPr="00267F6B" w:rsidRDefault="004066BE" w:rsidP="004066BE">
      <w:r w:rsidRPr="00267F6B">
        <w:rPr>
          <w:vertAlign w:val="superscript"/>
        </w:rPr>
        <w:t xml:space="preserve">6 </w:t>
      </w:r>
      <w:smartTag w:uri="urn:schemas-microsoft-com:office:smarttags" w:element="place">
        <w:smartTag w:uri="urn:schemas-microsoft-com:office:smarttags" w:element="State">
          <w:r w:rsidR="003C1D84" w:rsidRPr="00267F6B">
            <w:t>Texas</w:t>
          </w:r>
        </w:smartTag>
      </w:smartTag>
      <w:r w:rsidR="003C1D84" w:rsidRPr="00267F6B">
        <w:t xml:space="preserve"> Regist</w:t>
      </w:r>
      <w:r w:rsidR="00484BEA" w:rsidRPr="00267F6B">
        <w:t>ry of Legislative Actions</w:t>
      </w:r>
      <w:r w:rsidR="003C1D84" w:rsidRPr="00267F6B">
        <w:t>, March 30, 1876.</w:t>
      </w:r>
    </w:p>
    <w:p w:rsidR="004066BE" w:rsidRPr="00267F6B" w:rsidRDefault="004066BE" w:rsidP="004066BE"/>
    <w:p w:rsidR="004066BE" w:rsidRPr="00267F6B" w:rsidRDefault="004066BE" w:rsidP="004066BE">
      <w:r w:rsidRPr="00267F6B">
        <w:rPr>
          <w:vertAlign w:val="superscript"/>
        </w:rPr>
        <w:t xml:space="preserve">7 </w:t>
      </w:r>
      <w:r w:rsidR="00484BEA" w:rsidRPr="00267F6B">
        <w:t>Prater, pp. 111-112.</w:t>
      </w:r>
    </w:p>
    <w:p w:rsidR="004066BE" w:rsidRPr="00267F6B" w:rsidRDefault="004066BE" w:rsidP="004066BE"/>
    <w:p w:rsidR="004066BE" w:rsidRPr="00267F6B" w:rsidRDefault="004066BE" w:rsidP="004066BE">
      <w:r w:rsidRPr="00267F6B">
        <w:rPr>
          <w:vertAlign w:val="superscript"/>
        </w:rPr>
        <w:t>8</w:t>
      </w:r>
      <w:r w:rsidRPr="00267F6B">
        <w:t xml:space="preserve"> </w:t>
      </w:r>
      <w:r w:rsidR="00484BEA" w:rsidRPr="00267F6B">
        <w:rPr>
          <w:i/>
        </w:rPr>
        <w:t>Smackdab Sunlight</w:t>
      </w:r>
      <w:r w:rsidR="00484BEA" w:rsidRPr="00267F6B">
        <w:t>, June 9, 1876, p. 1.</w:t>
      </w:r>
    </w:p>
    <w:p w:rsidR="004066BE" w:rsidRPr="00267F6B" w:rsidRDefault="004066BE" w:rsidP="004066BE"/>
    <w:p w:rsidR="004066BE" w:rsidRPr="00267F6B" w:rsidRDefault="004066BE" w:rsidP="004066BE">
      <w:r w:rsidRPr="00267F6B">
        <w:rPr>
          <w:vertAlign w:val="superscript"/>
        </w:rPr>
        <w:t xml:space="preserve">9 </w:t>
      </w:r>
      <w:smartTag w:uri="urn:schemas-microsoft-com:office:smarttags" w:element="place">
        <w:smartTag w:uri="urn:schemas-microsoft-com:office:smarttags" w:element="City">
          <w:r w:rsidR="00484BEA" w:rsidRPr="00267F6B">
            <w:rPr>
              <w:i/>
            </w:rPr>
            <w:t>Dallas</w:t>
          </w:r>
        </w:smartTag>
      </w:smartTag>
      <w:r w:rsidR="00484BEA" w:rsidRPr="00267F6B">
        <w:rPr>
          <w:i/>
        </w:rPr>
        <w:t xml:space="preserve"> Morning News</w:t>
      </w:r>
      <w:r w:rsidR="00484BEA" w:rsidRPr="00267F6B">
        <w:t>, June 8, 1876, p. 14, col. 3.</w:t>
      </w:r>
    </w:p>
    <w:p w:rsidR="004066BE" w:rsidRPr="00267F6B" w:rsidRDefault="004066BE" w:rsidP="004066BE"/>
    <w:p w:rsidR="004066BE" w:rsidRPr="00267F6B" w:rsidRDefault="004066BE" w:rsidP="004066BE">
      <w:r w:rsidRPr="00267F6B">
        <w:rPr>
          <w:vertAlign w:val="superscript"/>
        </w:rPr>
        <w:t xml:space="preserve">10 </w:t>
      </w:r>
      <w:smartTag w:uri="urn:schemas-microsoft-com:office:smarttags" w:element="place">
        <w:smartTag w:uri="urn:schemas-microsoft-com:office:smarttags" w:element="State">
          <w:r w:rsidR="00484BEA" w:rsidRPr="00267F6B">
            <w:t>Texas</w:t>
          </w:r>
        </w:smartTag>
      </w:smartTag>
      <w:r w:rsidR="00484BEA" w:rsidRPr="00267F6B">
        <w:t xml:space="preserve"> Registry of Legislative Actions, June 30, 1876.</w:t>
      </w:r>
      <w:r w:rsidR="006F65D3" w:rsidRPr="00267F6B">
        <w:t xml:space="preserve"> </w:t>
      </w:r>
    </w:p>
    <w:p w:rsidR="00C9057F" w:rsidRPr="00267F6B" w:rsidRDefault="00C9057F" w:rsidP="00502E50"/>
    <w:sectPr w:rsidR="00C9057F" w:rsidRPr="00267F6B" w:rsidSect="006252A0">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E72C8"/>
    <w:multiLevelType w:val="hybridMultilevel"/>
    <w:tmpl w:val="7018D4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010A0"/>
    <w:multiLevelType w:val="hybridMultilevel"/>
    <w:tmpl w:val="0D40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9"/>
  </w:num>
  <w:num w:numId="4">
    <w:abstractNumId w:val="25"/>
  </w:num>
  <w:num w:numId="5">
    <w:abstractNumId w:val="2"/>
  </w:num>
  <w:num w:numId="6">
    <w:abstractNumId w:val="17"/>
  </w:num>
  <w:num w:numId="7">
    <w:abstractNumId w:val="22"/>
  </w:num>
  <w:num w:numId="8">
    <w:abstractNumId w:val="10"/>
  </w:num>
  <w:num w:numId="9">
    <w:abstractNumId w:val="8"/>
  </w:num>
  <w:num w:numId="10">
    <w:abstractNumId w:val="19"/>
  </w:num>
  <w:num w:numId="11">
    <w:abstractNumId w:val="1"/>
  </w:num>
  <w:num w:numId="12">
    <w:abstractNumId w:val="5"/>
  </w:num>
  <w:num w:numId="13">
    <w:abstractNumId w:val="14"/>
  </w:num>
  <w:num w:numId="14">
    <w:abstractNumId w:val="28"/>
  </w:num>
  <w:num w:numId="15">
    <w:abstractNumId w:val="26"/>
  </w:num>
  <w:num w:numId="16">
    <w:abstractNumId w:val="0"/>
  </w:num>
  <w:num w:numId="17">
    <w:abstractNumId w:val="15"/>
  </w:num>
  <w:num w:numId="18">
    <w:abstractNumId w:val="27"/>
  </w:num>
  <w:num w:numId="19">
    <w:abstractNumId w:val="6"/>
  </w:num>
  <w:num w:numId="20">
    <w:abstractNumId w:val="3"/>
  </w:num>
  <w:num w:numId="21">
    <w:abstractNumId w:val="23"/>
  </w:num>
  <w:num w:numId="22">
    <w:abstractNumId w:val="7"/>
  </w:num>
  <w:num w:numId="23">
    <w:abstractNumId w:val="13"/>
  </w:num>
  <w:num w:numId="24">
    <w:abstractNumId w:val="29"/>
  </w:num>
  <w:num w:numId="25">
    <w:abstractNumId w:val="21"/>
  </w:num>
  <w:num w:numId="26">
    <w:abstractNumId w:val="16"/>
  </w:num>
  <w:num w:numId="27">
    <w:abstractNumId w:val="12"/>
  </w:num>
  <w:num w:numId="28">
    <w:abstractNumId w:val="24"/>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qUHXvD6mmgXic6GtP33ljkPJtqCUDnaee2pWyTZDjgarCNFFIi8YXcQQGJOyOmhy6XURl2uuiwQeWEEmhhnSg==" w:salt="uWabKLfx0WK/jXJcjto9Zw=="/>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1752E"/>
    <w:rsid w:val="00021FF4"/>
    <w:rsid w:val="00025047"/>
    <w:rsid w:val="00080F6F"/>
    <w:rsid w:val="000A08BB"/>
    <w:rsid w:val="000D53DB"/>
    <w:rsid w:val="001116F7"/>
    <w:rsid w:val="001A3755"/>
    <w:rsid w:val="001D687C"/>
    <w:rsid w:val="002047C1"/>
    <w:rsid w:val="00222A35"/>
    <w:rsid w:val="002303BB"/>
    <w:rsid w:val="0024082F"/>
    <w:rsid w:val="00240AAD"/>
    <w:rsid w:val="002606B8"/>
    <w:rsid w:val="00267F6B"/>
    <w:rsid w:val="0029117F"/>
    <w:rsid w:val="002959F0"/>
    <w:rsid w:val="002C18AF"/>
    <w:rsid w:val="002E4772"/>
    <w:rsid w:val="00300EA1"/>
    <w:rsid w:val="003A5C55"/>
    <w:rsid w:val="003B6544"/>
    <w:rsid w:val="003C1D84"/>
    <w:rsid w:val="003C744A"/>
    <w:rsid w:val="003D05C8"/>
    <w:rsid w:val="003D1665"/>
    <w:rsid w:val="004066BE"/>
    <w:rsid w:val="00433823"/>
    <w:rsid w:val="00445C3F"/>
    <w:rsid w:val="0046178B"/>
    <w:rsid w:val="00484BEA"/>
    <w:rsid w:val="004B3C1C"/>
    <w:rsid w:val="004D2A43"/>
    <w:rsid w:val="004E1B0D"/>
    <w:rsid w:val="004F055C"/>
    <w:rsid w:val="00502E50"/>
    <w:rsid w:val="00532046"/>
    <w:rsid w:val="00535561"/>
    <w:rsid w:val="00542109"/>
    <w:rsid w:val="00555B2C"/>
    <w:rsid w:val="00596F5A"/>
    <w:rsid w:val="006252A0"/>
    <w:rsid w:val="00650E6C"/>
    <w:rsid w:val="00652C50"/>
    <w:rsid w:val="006A6A95"/>
    <w:rsid w:val="006C055D"/>
    <w:rsid w:val="006E2EA6"/>
    <w:rsid w:val="006F65D3"/>
    <w:rsid w:val="0072799F"/>
    <w:rsid w:val="00751FF1"/>
    <w:rsid w:val="00765A99"/>
    <w:rsid w:val="007A6468"/>
    <w:rsid w:val="007E1278"/>
    <w:rsid w:val="007E6587"/>
    <w:rsid w:val="00801129"/>
    <w:rsid w:val="00803DD9"/>
    <w:rsid w:val="00851D6E"/>
    <w:rsid w:val="00897D85"/>
    <w:rsid w:val="008A3584"/>
    <w:rsid w:val="008C4792"/>
    <w:rsid w:val="00962AB3"/>
    <w:rsid w:val="009B45AA"/>
    <w:rsid w:val="009F1ABB"/>
    <w:rsid w:val="00A17F06"/>
    <w:rsid w:val="00A26243"/>
    <w:rsid w:val="00A544C8"/>
    <w:rsid w:val="00A65FAD"/>
    <w:rsid w:val="00A7612C"/>
    <w:rsid w:val="00AA550C"/>
    <w:rsid w:val="00B85F14"/>
    <w:rsid w:val="00BB1190"/>
    <w:rsid w:val="00BF1116"/>
    <w:rsid w:val="00C04898"/>
    <w:rsid w:val="00C50240"/>
    <w:rsid w:val="00C76AE2"/>
    <w:rsid w:val="00C9057F"/>
    <w:rsid w:val="00CA7AD5"/>
    <w:rsid w:val="00CE01B6"/>
    <w:rsid w:val="00CE4D31"/>
    <w:rsid w:val="00D24358"/>
    <w:rsid w:val="00D36611"/>
    <w:rsid w:val="00D57911"/>
    <w:rsid w:val="00D623F8"/>
    <w:rsid w:val="00D64C88"/>
    <w:rsid w:val="00D853FF"/>
    <w:rsid w:val="00D9696E"/>
    <w:rsid w:val="00DA02B7"/>
    <w:rsid w:val="00E24B86"/>
    <w:rsid w:val="00E259F9"/>
    <w:rsid w:val="00E26D4D"/>
    <w:rsid w:val="00E27D5F"/>
    <w:rsid w:val="00E33D0D"/>
    <w:rsid w:val="00E35029"/>
    <w:rsid w:val="00EC24E3"/>
    <w:rsid w:val="00EC7512"/>
    <w:rsid w:val="00F246C2"/>
    <w:rsid w:val="00F268AF"/>
    <w:rsid w:val="00F537F1"/>
    <w:rsid w:val="00F71E0A"/>
    <w:rsid w:val="00F81E80"/>
    <w:rsid w:val="00F8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C2E7711-E15D-44E5-B582-C66074C8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Mention">
    <w:name w:val="Mention"/>
    <w:uiPriority w:val="99"/>
    <w:semiHidden/>
    <w:unhideWhenUsed/>
    <w:rsid w:val="00C76A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xashistory.u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la.org/trsonline.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tsl.texas.gov/" TargetMode="External"/><Relationship Id="rId4" Type="http://schemas.openxmlformats.org/officeDocument/2006/relationships/webSettings" Target="webSettings.xml"/><Relationship Id="rId9" Type="http://schemas.openxmlformats.org/officeDocument/2006/relationships/hyperlink" Target="http://www.baylor.edu/Oral_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19585</CharactersWithSpaces>
  <SharedDoc>false</SharedDoc>
  <HLinks>
    <vt:vector size="30" baseType="variant">
      <vt:variant>
        <vt:i4>8323126</vt:i4>
      </vt:variant>
      <vt:variant>
        <vt:i4>12</vt:i4>
      </vt:variant>
      <vt:variant>
        <vt:i4>0</vt:i4>
      </vt:variant>
      <vt:variant>
        <vt:i4>5</vt:i4>
      </vt:variant>
      <vt:variant>
        <vt:lpwstr>https://www.tsl.texas.gov/</vt:lpwstr>
      </vt:variant>
      <vt:variant>
        <vt:lpwstr/>
      </vt:variant>
      <vt:variant>
        <vt:i4>2686977</vt:i4>
      </vt:variant>
      <vt:variant>
        <vt:i4>9</vt:i4>
      </vt:variant>
      <vt:variant>
        <vt:i4>0</vt:i4>
      </vt:variant>
      <vt:variant>
        <vt:i4>5</vt:i4>
      </vt:variant>
      <vt:variant>
        <vt:lpwstr>http://www.baylor.edu/Oral_History/</vt:lpwstr>
      </vt:variant>
      <vt:variant>
        <vt:lpwstr/>
      </vt:variant>
      <vt:variant>
        <vt:i4>6946926</vt:i4>
      </vt:variant>
      <vt:variant>
        <vt:i4>6</vt:i4>
      </vt:variant>
      <vt:variant>
        <vt:i4>0</vt:i4>
      </vt:variant>
      <vt:variant>
        <vt:i4>5</vt:i4>
      </vt:variant>
      <vt:variant>
        <vt:lpwstr>http://www.tshaonline.org/handbook/online/</vt:lpwstr>
      </vt:variant>
      <vt:variant>
        <vt:lpwstr/>
      </vt:variant>
      <vt:variant>
        <vt:i4>1966097</vt:i4>
      </vt:variant>
      <vt:variant>
        <vt:i4>3</vt:i4>
      </vt:variant>
      <vt:variant>
        <vt:i4>0</vt:i4>
      </vt:variant>
      <vt:variant>
        <vt:i4>5</vt:i4>
      </vt:variant>
      <vt:variant>
        <vt:lpwstr>http://texashistory.unt.edu/</vt:lpwstr>
      </vt:variant>
      <vt:variant>
        <vt:lpwstr/>
      </vt:variant>
      <vt:variant>
        <vt:i4>6881313</vt:i4>
      </vt:variant>
      <vt:variant>
        <vt:i4>0</vt:i4>
      </vt:variant>
      <vt:variant>
        <vt:i4>0</vt:i4>
      </vt:variant>
      <vt:variant>
        <vt:i4>5</vt:i4>
      </vt:variant>
      <vt:variant>
        <vt:lpwstr>http://www.txla.org/trsonline.html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2018-08-28T21:56:00Z</dcterms:created>
  <dcterms:modified xsi:type="dcterms:W3CDTF">2018-08-28T21:56:00Z</dcterms:modified>
</cp:coreProperties>
</file>